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8F35F" w14:textId="19CDF35D" w:rsidR="00DD479A" w:rsidRDefault="00380FAC" w:rsidP="00DD479A">
      <w:pPr>
        <w:spacing w:line="240" w:lineRule="auto"/>
        <w:jc w:val="center"/>
        <w:rPr>
          <w:rFonts w:ascii="Times New Roman" w:hAnsi="Times New Roman"/>
          <w:b/>
          <w:bCs/>
          <w:sz w:val="24"/>
          <w:szCs w:val="24"/>
        </w:rPr>
      </w:pPr>
      <w:bookmarkStart w:id="0" w:name="_Hlk99969750"/>
      <w:r>
        <w:rPr>
          <w:rFonts w:ascii="Times New Roman" w:hAnsi="Times New Roman"/>
          <w:b/>
          <w:bCs/>
          <w:sz w:val="24"/>
          <w:szCs w:val="24"/>
        </w:rPr>
        <w:t xml:space="preserve">PARTIAL SEQUENCE OF GROWTH HORMONE (GH) mRNA OF TIGER SHOVELNOSE CATFISH </w:t>
      </w:r>
      <w:proofErr w:type="spellStart"/>
      <w:r w:rsidR="00B42900" w:rsidRPr="00355458">
        <w:rPr>
          <w:rFonts w:ascii="Times New Roman" w:hAnsi="Times New Roman"/>
          <w:b/>
          <w:bCs/>
          <w:i/>
          <w:iCs/>
          <w:sz w:val="24"/>
          <w:szCs w:val="24"/>
        </w:rPr>
        <w:t>Pseudoplatystoma</w:t>
      </w:r>
      <w:proofErr w:type="spellEnd"/>
      <w:r w:rsidR="00B42900" w:rsidRPr="00355458">
        <w:rPr>
          <w:rFonts w:ascii="Times New Roman" w:hAnsi="Times New Roman"/>
          <w:b/>
          <w:bCs/>
          <w:i/>
          <w:iCs/>
          <w:sz w:val="24"/>
          <w:szCs w:val="24"/>
        </w:rPr>
        <w:t xml:space="preserve"> </w:t>
      </w:r>
      <w:proofErr w:type="spellStart"/>
      <w:r w:rsidR="00865AAF">
        <w:rPr>
          <w:rFonts w:ascii="Times New Roman" w:hAnsi="Times New Roman"/>
          <w:b/>
          <w:bCs/>
          <w:i/>
          <w:iCs/>
          <w:sz w:val="24"/>
          <w:szCs w:val="24"/>
        </w:rPr>
        <w:t>fasciatum</w:t>
      </w:r>
      <w:proofErr w:type="spellEnd"/>
      <w:r w:rsidR="00865AAF">
        <w:rPr>
          <w:rFonts w:ascii="Times New Roman" w:hAnsi="Times New Roman"/>
          <w:b/>
          <w:bCs/>
          <w:i/>
          <w:iCs/>
          <w:sz w:val="24"/>
          <w:szCs w:val="24"/>
        </w:rPr>
        <w:t xml:space="preserve"> </w:t>
      </w:r>
      <w:r w:rsidR="00865AAF">
        <w:rPr>
          <w:rFonts w:ascii="Times New Roman" w:hAnsi="Times New Roman"/>
          <w:b/>
          <w:bCs/>
          <w:sz w:val="24"/>
          <w:szCs w:val="24"/>
        </w:rPr>
        <w:t>(L</w:t>
      </w:r>
      <w:r>
        <w:rPr>
          <w:rFonts w:ascii="Times New Roman" w:hAnsi="Times New Roman"/>
          <w:b/>
          <w:bCs/>
          <w:sz w:val="24"/>
          <w:szCs w:val="24"/>
        </w:rPr>
        <w:t>INNAEUS</w:t>
      </w:r>
      <w:r w:rsidR="00865AAF">
        <w:rPr>
          <w:rFonts w:ascii="Times New Roman" w:hAnsi="Times New Roman"/>
          <w:b/>
          <w:bCs/>
          <w:sz w:val="24"/>
          <w:szCs w:val="24"/>
        </w:rPr>
        <w:t>, 1766)</w:t>
      </w:r>
      <w:bookmarkStart w:id="1" w:name="_Hlk95920684"/>
      <w:bookmarkEnd w:id="0"/>
    </w:p>
    <w:p w14:paraId="0CFE06AA" w14:textId="77777777" w:rsidR="00DD479A" w:rsidRPr="00DD479A" w:rsidRDefault="00DD479A" w:rsidP="00DD479A">
      <w:pPr>
        <w:spacing w:line="240" w:lineRule="auto"/>
        <w:jc w:val="center"/>
        <w:rPr>
          <w:rFonts w:ascii="Times New Roman" w:hAnsi="Times New Roman"/>
          <w:b/>
          <w:bCs/>
          <w:sz w:val="24"/>
          <w:szCs w:val="24"/>
        </w:rPr>
      </w:pPr>
    </w:p>
    <w:p w14:paraId="06961D4F" w14:textId="4E4968DE" w:rsidR="00B42900" w:rsidRPr="00355458" w:rsidRDefault="00380FAC" w:rsidP="00990E2D">
      <w:pPr>
        <w:spacing w:line="480" w:lineRule="auto"/>
        <w:jc w:val="both"/>
        <w:rPr>
          <w:rFonts w:ascii="Times New Roman" w:hAnsi="Times New Roman"/>
          <w:iCs/>
          <w:color w:val="FF0000"/>
          <w:sz w:val="24"/>
          <w:szCs w:val="24"/>
        </w:rPr>
      </w:pPr>
      <w:r>
        <w:rPr>
          <w:rFonts w:ascii="Times New Roman" w:eastAsia="Arial" w:hAnsi="Times New Roman"/>
          <w:b/>
          <w:iCs/>
          <w:sz w:val="24"/>
          <w:szCs w:val="24"/>
        </w:rPr>
        <w:t>ABSTRACT</w:t>
      </w:r>
    </w:p>
    <w:p w14:paraId="47EF12E0" w14:textId="1154777F" w:rsidR="00B42900" w:rsidRPr="00E5743E" w:rsidRDefault="00865AAF" w:rsidP="00990E2D">
      <w:pPr>
        <w:spacing w:line="240" w:lineRule="auto"/>
        <w:ind w:firstLine="720"/>
        <w:jc w:val="both"/>
        <w:rPr>
          <w:rFonts w:ascii="Times New Roman" w:hAnsi="Times New Roman"/>
          <w:i/>
          <w:iCs/>
          <w:color w:val="FF0000"/>
          <w:sz w:val="24"/>
          <w:szCs w:val="24"/>
        </w:rPr>
      </w:pPr>
      <w:bookmarkStart w:id="2" w:name="_Hlk94527346"/>
      <w:r w:rsidRPr="00E5743E">
        <w:rPr>
          <w:rFonts w:ascii="Times New Roman" w:hAnsi="Times New Roman"/>
          <w:i/>
          <w:iCs/>
          <w:sz w:val="24"/>
          <w:szCs w:val="24"/>
        </w:rPr>
        <w:t xml:space="preserve">The pituitary secretes growth hormone, and the amount is limited in an individual. Tiger shovelnose catfish is introduced as ornamental fish with fast growth to isolate growth hormone genes used in fish farming. This study aims to isolate and identify the growth hormone (GH) mRNA gene in Tiger shovelnose catfish </w:t>
      </w:r>
      <w:bookmarkStart w:id="3" w:name="_Hlk95919816"/>
      <w:r w:rsidRPr="00E5743E">
        <w:rPr>
          <w:rFonts w:ascii="Times New Roman" w:hAnsi="Times New Roman"/>
          <w:i/>
          <w:iCs/>
          <w:sz w:val="24"/>
          <w:szCs w:val="24"/>
        </w:rPr>
        <w:t>(</w:t>
      </w:r>
      <w:proofErr w:type="spellStart"/>
      <w:r w:rsidRPr="00E5743E">
        <w:rPr>
          <w:rFonts w:ascii="Times New Roman" w:hAnsi="Times New Roman"/>
          <w:i/>
          <w:iCs/>
          <w:sz w:val="24"/>
          <w:szCs w:val="24"/>
        </w:rPr>
        <w:t>Pseudoplatystoma</w:t>
      </w:r>
      <w:proofErr w:type="spellEnd"/>
      <w:r w:rsidRPr="00E5743E">
        <w:rPr>
          <w:rFonts w:ascii="Times New Roman" w:hAnsi="Times New Roman"/>
          <w:i/>
          <w:iCs/>
          <w:sz w:val="24"/>
          <w:szCs w:val="24"/>
        </w:rPr>
        <w:t xml:space="preserve"> </w:t>
      </w:r>
      <w:proofErr w:type="spellStart"/>
      <w:r w:rsidRPr="00E5743E">
        <w:rPr>
          <w:rFonts w:ascii="Times New Roman" w:hAnsi="Times New Roman"/>
          <w:i/>
          <w:iCs/>
          <w:sz w:val="24"/>
          <w:szCs w:val="24"/>
        </w:rPr>
        <w:t>fasciatum</w:t>
      </w:r>
      <w:proofErr w:type="spellEnd"/>
      <w:r w:rsidRPr="00E5743E">
        <w:rPr>
          <w:rFonts w:ascii="Times New Roman" w:hAnsi="Times New Roman"/>
          <w:i/>
          <w:iCs/>
          <w:sz w:val="24"/>
          <w:szCs w:val="24"/>
        </w:rPr>
        <w:t xml:space="preserve"> Linnaeus, 1766</w:t>
      </w:r>
      <w:bookmarkEnd w:id="3"/>
      <w:r w:rsidR="00900A81" w:rsidRPr="00E5743E">
        <w:rPr>
          <w:rFonts w:ascii="Times New Roman" w:hAnsi="Times New Roman"/>
          <w:i/>
          <w:iCs/>
          <w:sz w:val="24"/>
          <w:szCs w:val="24"/>
        </w:rPr>
        <w:t xml:space="preserve">). The sample was isolated from the pituitary, the fish measuring 602 g and 43 cm long; RNA was extracted using the Tri Reagent Kit, followed with cDNA synthesis. </w:t>
      </w:r>
      <w:r w:rsidRPr="00E5743E">
        <w:rPr>
          <w:rFonts w:ascii="Times New Roman" w:hAnsi="Times New Roman"/>
          <w:i/>
          <w:iCs/>
          <w:sz w:val="24"/>
          <w:szCs w:val="24"/>
        </w:rPr>
        <w:t xml:space="preserve">The success of the extraction was confirmed by quantification and PCR using the β-actin gene as an internal control. </w:t>
      </w:r>
      <w:r w:rsidR="00900A81" w:rsidRPr="00E5743E">
        <w:rPr>
          <w:rFonts w:ascii="Times New Roman" w:hAnsi="Times New Roman"/>
          <w:i/>
          <w:iCs/>
          <w:sz w:val="24"/>
          <w:szCs w:val="24"/>
        </w:rPr>
        <w:t xml:space="preserve">GH mRNA gene was isolated by RT-PCR method, with degenerated primers from seven catfish species sequence data in the NCBI gene bank. </w:t>
      </w:r>
      <w:r w:rsidRPr="00E5743E">
        <w:rPr>
          <w:rFonts w:ascii="Times New Roman" w:hAnsi="Times New Roman"/>
          <w:i/>
          <w:iCs/>
          <w:sz w:val="24"/>
          <w:szCs w:val="24"/>
        </w:rPr>
        <w:t xml:space="preserve">The single band from GH gene was cloned and sequenced. Total RNA quantification with a concentration of 227 </w:t>
      </w:r>
      <w:proofErr w:type="spellStart"/>
      <w:proofErr w:type="gramStart"/>
      <w:r w:rsidRPr="00E5743E">
        <w:rPr>
          <w:rFonts w:ascii="Times New Roman" w:hAnsi="Times New Roman"/>
          <w:i/>
          <w:iCs/>
          <w:sz w:val="24"/>
          <w:szCs w:val="24"/>
        </w:rPr>
        <w:t>ng</w:t>
      </w:r>
      <w:r w:rsidR="00900A81" w:rsidRPr="00E5743E">
        <w:rPr>
          <w:rFonts w:ascii="Times New Roman" w:hAnsi="Times New Roman"/>
          <w:i/>
          <w:iCs/>
          <w:sz w:val="24"/>
          <w:szCs w:val="24"/>
        </w:rPr>
        <w:t>.</w:t>
      </w:r>
      <w:r w:rsidRPr="00E5743E">
        <w:rPr>
          <w:rFonts w:ascii="Times New Roman" w:hAnsi="Times New Roman"/>
          <w:i/>
          <w:iCs/>
          <w:sz w:val="24"/>
          <w:szCs w:val="24"/>
        </w:rPr>
        <w:t>µ</w:t>
      </w:r>
      <w:proofErr w:type="gramEnd"/>
      <w:r w:rsidRPr="00E5743E">
        <w:rPr>
          <w:rFonts w:ascii="Times New Roman" w:hAnsi="Times New Roman"/>
          <w:i/>
          <w:iCs/>
          <w:sz w:val="24"/>
          <w:szCs w:val="24"/>
        </w:rPr>
        <w:t>L</w:t>
      </w:r>
      <w:proofErr w:type="spellEnd"/>
      <w:r w:rsidRPr="00E5743E">
        <w:rPr>
          <w:rFonts w:ascii="Times New Roman" w:hAnsi="Times New Roman"/>
          <w:i/>
          <w:iCs/>
          <w:sz w:val="24"/>
          <w:szCs w:val="24"/>
        </w:rPr>
        <w:t xml:space="preserve"> and purity of 1.821. The successful isolation of mRNA from the pituitary gland was confirmed by amplifying the β-actin gene generated at 300 bp. This isolation of the growth hormone mRNA gene had a sequence length of 234 bp. </w:t>
      </w:r>
      <w:proofErr w:type="spellStart"/>
      <w:r w:rsidR="00B42900" w:rsidRPr="00E5743E">
        <w:rPr>
          <w:rFonts w:ascii="Times New Roman" w:hAnsi="Times New Roman"/>
          <w:i/>
          <w:iCs/>
          <w:sz w:val="24"/>
          <w:szCs w:val="24"/>
        </w:rPr>
        <w:t>PsGH</w:t>
      </w:r>
      <w:proofErr w:type="spellEnd"/>
      <w:r w:rsidR="00B42900" w:rsidRPr="00E5743E">
        <w:rPr>
          <w:rFonts w:ascii="Times New Roman" w:hAnsi="Times New Roman"/>
          <w:i/>
          <w:iCs/>
          <w:sz w:val="24"/>
          <w:szCs w:val="24"/>
        </w:rPr>
        <w:t xml:space="preserve"> gene consists of 17 amino acids, with an amino acid composition of seven types of R non-polar (48.0</w:t>
      </w:r>
      <w:r w:rsidR="007F6E87" w:rsidRPr="00E5743E">
        <w:rPr>
          <w:rFonts w:ascii="Times New Roman" w:hAnsi="Times New Roman"/>
          <w:i/>
          <w:iCs/>
          <w:sz w:val="24"/>
          <w:szCs w:val="24"/>
        </w:rPr>
        <w:t xml:space="preserve"> </w:t>
      </w:r>
      <w:r w:rsidR="00B42900" w:rsidRPr="00E5743E">
        <w:rPr>
          <w:rFonts w:ascii="Times New Roman" w:hAnsi="Times New Roman"/>
          <w:i/>
          <w:iCs/>
          <w:sz w:val="24"/>
          <w:szCs w:val="24"/>
        </w:rPr>
        <w:t>%), five types of R polar (29.3</w:t>
      </w:r>
      <w:r w:rsidR="007F6E87" w:rsidRPr="00E5743E">
        <w:rPr>
          <w:rFonts w:ascii="Times New Roman" w:hAnsi="Times New Roman"/>
          <w:i/>
          <w:iCs/>
          <w:sz w:val="24"/>
          <w:szCs w:val="24"/>
        </w:rPr>
        <w:t xml:space="preserve"> </w:t>
      </w:r>
      <w:r w:rsidR="00B42900" w:rsidRPr="00E5743E">
        <w:rPr>
          <w:rFonts w:ascii="Times New Roman" w:hAnsi="Times New Roman"/>
          <w:i/>
          <w:iCs/>
          <w:sz w:val="24"/>
          <w:szCs w:val="24"/>
        </w:rPr>
        <w:t>%), three types of R Base (16.0</w:t>
      </w:r>
      <w:r w:rsidR="007F6E87" w:rsidRPr="00E5743E">
        <w:rPr>
          <w:rFonts w:ascii="Times New Roman" w:hAnsi="Times New Roman"/>
          <w:i/>
          <w:iCs/>
          <w:sz w:val="24"/>
          <w:szCs w:val="24"/>
        </w:rPr>
        <w:t xml:space="preserve"> </w:t>
      </w:r>
      <w:r w:rsidR="00B42900" w:rsidRPr="00E5743E">
        <w:rPr>
          <w:rFonts w:ascii="Times New Roman" w:hAnsi="Times New Roman"/>
          <w:i/>
          <w:iCs/>
          <w:sz w:val="24"/>
          <w:szCs w:val="24"/>
        </w:rPr>
        <w:t>%), and two types of R Acid (6.7</w:t>
      </w:r>
      <w:r w:rsidR="007F6E87" w:rsidRPr="00E5743E">
        <w:rPr>
          <w:rFonts w:ascii="Times New Roman" w:hAnsi="Times New Roman"/>
          <w:i/>
          <w:iCs/>
          <w:sz w:val="24"/>
          <w:szCs w:val="24"/>
        </w:rPr>
        <w:t xml:space="preserve"> </w:t>
      </w:r>
      <w:r w:rsidR="00B42900" w:rsidRPr="00E5743E">
        <w:rPr>
          <w:rFonts w:ascii="Times New Roman" w:hAnsi="Times New Roman"/>
          <w:i/>
          <w:iCs/>
          <w:sz w:val="24"/>
          <w:szCs w:val="24"/>
        </w:rPr>
        <w:t>%). The GH gene of Tiger shovelnose catfish was closed to striped catfish (</w:t>
      </w:r>
      <w:proofErr w:type="spellStart"/>
      <w:r w:rsidR="00B42900" w:rsidRPr="00E5743E">
        <w:rPr>
          <w:rFonts w:ascii="Times New Roman" w:hAnsi="Times New Roman"/>
          <w:i/>
          <w:iCs/>
          <w:sz w:val="24"/>
          <w:szCs w:val="24"/>
        </w:rPr>
        <w:t>Pangasianodon</w:t>
      </w:r>
      <w:proofErr w:type="spellEnd"/>
      <w:r w:rsidR="00B42900" w:rsidRPr="00E5743E">
        <w:rPr>
          <w:rFonts w:ascii="Times New Roman" w:hAnsi="Times New Roman"/>
          <w:i/>
          <w:iCs/>
          <w:sz w:val="24"/>
          <w:szCs w:val="24"/>
        </w:rPr>
        <w:t xml:space="preserve"> </w:t>
      </w:r>
      <w:proofErr w:type="spellStart"/>
      <w:r w:rsidR="00B42900" w:rsidRPr="00E5743E">
        <w:rPr>
          <w:rFonts w:ascii="Times New Roman" w:hAnsi="Times New Roman"/>
          <w:i/>
          <w:iCs/>
          <w:sz w:val="24"/>
          <w:szCs w:val="24"/>
        </w:rPr>
        <w:t>hypophthalmus</w:t>
      </w:r>
      <w:proofErr w:type="spellEnd"/>
      <w:r w:rsidR="00B42900" w:rsidRPr="00E5743E">
        <w:rPr>
          <w:rFonts w:ascii="Times New Roman" w:hAnsi="Times New Roman"/>
          <w:i/>
          <w:iCs/>
          <w:sz w:val="24"/>
          <w:szCs w:val="24"/>
        </w:rPr>
        <w:t>) and African catfish (</w:t>
      </w:r>
      <w:proofErr w:type="spellStart"/>
      <w:r w:rsidR="00B42900" w:rsidRPr="00E5743E">
        <w:rPr>
          <w:rFonts w:ascii="Times New Roman" w:hAnsi="Times New Roman"/>
          <w:i/>
          <w:iCs/>
          <w:sz w:val="24"/>
          <w:szCs w:val="24"/>
        </w:rPr>
        <w:t>Clarias</w:t>
      </w:r>
      <w:proofErr w:type="spellEnd"/>
      <w:r w:rsidR="00B42900" w:rsidRPr="00E5743E">
        <w:rPr>
          <w:rFonts w:ascii="Times New Roman" w:hAnsi="Times New Roman"/>
          <w:i/>
          <w:iCs/>
          <w:sz w:val="24"/>
          <w:szCs w:val="24"/>
        </w:rPr>
        <w:t xml:space="preserve"> </w:t>
      </w:r>
      <w:proofErr w:type="spellStart"/>
      <w:r w:rsidR="00B42900" w:rsidRPr="00E5743E">
        <w:rPr>
          <w:rFonts w:ascii="Times New Roman" w:hAnsi="Times New Roman"/>
          <w:i/>
          <w:iCs/>
          <w:sz w:val="24"/>
          <w:szCs w:val="24"/>
        </w:rPr>
        <w:t>batracus</w:t>
      </w:r>
      <w:proofErr w:type="spellEnd"/>
      <w:r w:rsidR="00B42900" w:rsidRPr="00E5743E">
        <w:rPr>
          <w:rFonts w:ascii="Times New Roman" w:hAnsi="Times New Roman"/>
          <w:i/>
          <w:iCs/>
          <w:sz w:val="24"/>
          <w:szCs w:val="24"/>
        </w:rPr>
        <w:t>) with the same homology value of 90.6</w:t>
      </w:r>
      <w:r w:rsidR="007F6E87" w:rsidRPr="00E5743E">
        <w:rPr>
          <w:rFonts w:ascii="Times New Roman" w:hAnsi="Times New Roman"/>
          <w:i/>
          <w:iCs/>
          <w:sz w:val="24"/>
          <w:szCs w:val="24"/>
        </w:rPr>
        <w:t xml:space="preserve"> </w:t>
      </w:r>
      <w:r w:rsidR="00B42900" w:rsidRPr="00E5743E">
        <w:rPr>
          <w:rFonts w:ascii="Times New Roman" w:hAnsi="Times New Roman"/>
          <w:i/>
          <w:iCs/>
          <w:sz w:val="24"/>
          <w:szCs w:val="24"/>
        </w:rPr>
        <w:t>%.</w:t>
      </w:r>
    </w:p>
    <w:bookmarkEnd w:id="1"/>
    <w:bookmarkEnd w:id="2"/>
    <w:p w14:paraId="39B3F78A" w14:textId="2697DB46" w:rsidR="00B42900" w:rsidRPr="00E5743E" w:rsidRDefault="00B42900" w:rsidP="00990E2D">
      <w:pPr>
        <w:spacing w:line="240" w:lineRule="auto"/>
        <w:jc w:val="both"/>
        <w:rPr>
          <w:rFonts w:ascii="Times New Roman" w:hAnsi="Times New Roman"/>
          <w:b/>
          <w:bCs/>
          <w:sz w:val="24"/>
          <w:szCs w:val="24"/>
        </w:rPr>
      </w:pPr>
      <w:r w:rsidRPr="00E5743E">
        <w:rPr>
          <w:rFonts w:ascii="Times New Roman" w:hAnsi="Times New Roman"/>
          <w:b/>
          <w:bCs/>
          <w:i/>
          <w:iCs/>
          <w:sz w:val="24"/>
          <w:szCs w:val="24"/>
        </w:rPr>
        <w:t>K</w:t>
      </w:r>
      <w:r w:rsidR="00E5743E" w:rsidRPr="00E5743E">
        <w:rPr>
          <w:rFonts w:ascii="Times New Roman" w:hAnsi="Times New Roman"/>
          <w:b/>
          <w:bCs/>
          <w:i/>
          <w:iCs/>
          <w:sz w:val="24"/>
          <w:szCs w:val="24"/>
        </w:rPr>
        <w:t>EYWORDS</w:t>
      </w:r>
      <w:r w:rsidRPr="00E5743E">
        <w:rPr>
          <w:rFonts w:ascii="Times New Roman" w:hAnsi="Times New Roman"/>
          <w:b/>
          <w:bCs/>
          <w:i/>
          <w:iCs/>
          <w:sz w:val="24"/>
          <w:szCs w:val="24"/>
        </w:rPr>
        <w:t>:</w:t>
      </w:r>
      <w:r w:rsidRPr="00355458">
        <w:rPr>
          <w:rFonts w:ascii="Times New Roman" w:hAnsi="Times New Roman"/>
          <w:sz w:val="24"/>
          <w:szCs w:val="24"/>
        </w:rPr>
        <w:t xml:space="preserve"> </w:t>
      </w:r>
      <w:bookmarkStart w:id="4" w:name="_Hlk94875272"/>
      <w:r w:rsidR="00F52EEA" w:rsidRPr="00E5743E">
        <w:rPr>
          <w:rFonts w:ascii="Times New Roman" w:hAnsi="Times New Roman"/>
          <w:i/>
          <w:iCs/>
          <w:sz w:val="24"/>
          <w:szCs w:val="24"/>
        </w:rPr>
        <w:t>RT-PCR</w:t>
      </w:r>
      <w:r w:rsidR="004E5134" w:rsidRPr="00E5743E">
        <w:rPr>
          <w:rFonts w:ascii="Times New Roman" w:hAnsi="Times New Roman"/>
          <w:i/>
          <w:iCs/>
          <w:sz w:val="24"/>
          <w:szCs w:val="24"/>
        </w:rPr>
        <w:t>;</w:t>
      </w:r>
      <w:r w:rsidR="00F52EEA" w:rsidRPr="00E5743E">
        <w:rPr>
          <w:rFonts w:ascii="Times New Roman" w:hAnsi="Times New Roman"/>
          <w:i/>
          <w:iCs/>
          <w:sz w:val="24"/>
          <w:szCs w:val="24"/>
        </w:rPr>
        <w:t xml:space="preserve"> expression gene</w:t>
      </w:r>
      <w:r w:rsidR="004E5134" w:rsidRPr="00E5743E">
        <w:rPr>
          <w:rFonts w:ascii="Times New Roman" w:hAnsi="Times New Roman"/>
          <w:i/>
          <w:iCs/>
          <w:sz w:val="24"/>
          <w:szCs w:val="24"/>
        </w:rPr>
        <w:t>;</w:t>
      </w:r>
      <w:r w:rsidR="00F52EEA" w:rsidRPr="00E5743E">
        <w:rPr>
          <w:rFonts w:ascii="Times New Roman" w:hAnsi="Times New Roman"/>
          <w:i/>
          <w:iCs/>
          <w:sz w:val="24"/>
          <w:szCs w:val="24"/>
        </w:rPr>
        <w:t xml:space="preserve"> pituitary</w:t>
      </w:r>
      <w:r w:rsidR="004E5134" w:rsidRPr="00E5743E">
        <w:rPr>
          <w:rFonts w:ascii="Times New Roman" w:hAnsi="Times New Roman"/>
          <w:i/>
          <w:iCs/>
          <w:sz w:val="24"/>
          <w:szCs w:val="24"/>
        </w:rPr>
        <w:t>;</w:t>
      </w:r>
      <w:r w:rsidR="00F52EEA" w:rsidRPr="00E5743E">
        <w:rPr>
          <w:rFonts w:ascii="Times New Roman" w:hAnsi="Times New Roman"/>
          <w:i/>
          <w:iCs/>
          <w:sz w:val="24"/>
          <w:szCs w:val="24"/>
        </w:rPr>
        <w:t xml:space="preserve"> degenerate primer</w:t>
      </w:r>
      <w:r w:rsidR="004E5134" w:rsidRPr="00E5743E">
        <w:rPr>
          <w:rFonts w:ascii="Times New Roman" w:hAnsi="Times New Roman"/>
          <w:i/>
          <w:iCs/>
          <w:sz w:val="24"/>
          <w:szCs w:val="24"/>
        </w:rPr>
        <w:t>;</w:t>
      </w:r>
      <w:r w:rsidR="00F52EEA" w:rsidRPr="00E5743E">
        <w:rPr>
          <w:rFonts w:ascii="Times New Roman" w:hAnsi="Times New Roman"/>
          <w:i/>
          <w:iCs/>
          <w:sz w:val="24"/>
          <w:szCs w:val="24"/>
        </w:rPr>
        <w:t xml:space="preserve"> </w:t>
      </w:r>
      <w:proofErr w:type="spellStart"/>
      <w:r w:rsidR="00544967" w:rsidRPr="00E5743E">
        <w:rPr>
          <w:rFonts w:ascii="Times New Roman" w:hAnsi="Times New Roman"/>
          <w:i/>
          <w:iCs/>
          <w:sz w:val="24"/>
          <w:szCs w:val="24"/>
        </w:rPr>
        <w:t>p</w:t>
      </w:r>
      <w:r w:rsidR="00F52EEA" w:rsidRPr="00E5743E">
        <w:rPr>
          <w:rFonts w:ascii="Times New Roman" w:hAnsi="Times New Roman"/>
          <w:i/>
          <w:iCs/>
          <w:sz w:val="24"/>
          <w:szCs w:val="24"/>
        </w:rPr>
        <w:t>sGH</w:t>
      </w:r>
      <w:proofErr w:type="spellEnd"/>
    </w:p>
    <w:bookmarkEnd w:id="4"/>
    <w:p w14:paraId="77185CB2" w14:textId="77777777" w:rsidR="00990E2D" w:rsidRDefault="00990E2D" w:rsidP="00990E2D">
      <w:pPr>
        <w:spacing w:line="240" w:lineRule="auto"/>
        <w:ind w:firstLine="709"/>
        <w:jc w:val="both"/>
        <w:rPr>
          <w:rFonts w:ascii="Times New Roman" w:hAnsi="Times New Roman"/>
          <w:sz w:val="24"/>
          <w:szCs w:val="24"/>
        </w:rPr>
      </w:pPr>
    </w:p>
    <w:p w14:paraId="7CECBCAC" w14:textId="37E32416" w:rsidR="00990E2D" w:rsidRPr="00990E2D" w:rsidRDefault="00990E2D" w:rsidP="00990E2D">
      <w:pPr>
        <w:spacing w:line="240" w:lineRule="auto"/>
        <w:jc w:val="both"/>
        <w:rPr>
          <w:rFonts w:ascii="Times New Roman" w:hAnsi="Times New Roman"/>
          <w:b/>
          <w:bCs/>
          <w:sz w:val="24"/>
          <w:szCs w:val="24"/>
        </w:rPr>
      </w:pPr>
      <w:r w:rsidRPr="00990E2D">
        <w:rPr>
          <w:rFonts w:ascii="Times New Roman" w:hAnsi="Times New Roman"/>
          <w:b/>
          <w:bCs/>
          <w:sz w:val="24"/>
          <w:szCs w:val="24"/>
        </w:rPr>
        <w:t>INTRODUCTION</w:t>
      </w:r>
    </w:p>
    <w:p w14:paraId="0DDBEB4D" w14:textId="38E496AC" w:rsidR="00D612CC" w:rsidRPr="00D826C8" w:rsidRDefault="00D612CC" w:rsidP="00990E2D">
      <w:pPr>
        <w:spacing w:line="240" w:lineRule="auto"/>
        <w:ind w:firstLine="709"/>
        <w:jc w:val="both"/>
        <w:rPr>
          <w:rFonts w:ascii="Times New Roman" w:hAnsi="Times New Roman"/>
          <w:sz w:val="24"/>
          <w:szCs w:val="24"/>
        </w:rPr>
      </w:pPr>
      <w:r w:rsidRPr="00D826C8">
        <w:rPr>
          <w:rFonts w:ascii="Times New Roman" w:hAnsi="Times New Roman"/>
          <w:sz w:val="24"/>
          <w:szCs w:val="24"/>
        </w:rPr>
        <w:t xml:space="preserve">Growth in fish culture is one of the keys to increase the productivity of cultured fish. Genetic engineering in increasing </w:t>
      </w:r>
      <w:r w:rsidR="00F6132D">
        <w:rPr>
          <w:rFonts w:ascii="Times New Roman" w:hAnsi="Times New Roman"/>
          <w:sz w:val="24"/>
          <w:szCs w:val="24"/>
        </w:rPr>
        <w:t>growth</w:t>
      </w:r>
      <w:r w:rsidRPr="00D826C8">
        <w:rPr>
          <w:rFonts w:ascii="Times New Roman" w:hAnsi="Times New Roman"/>
          <w:sz w:val="24"/>
          <w:szCs w:val="24"/>
        </w:rPr>
        <w:t xml:space="preserve"> has been through various methods such as transgenesis and the administration of recombinant growth hormone (</w:t>
      </w:r>
      <w:proofErr w:type="spellStart"/>
      <w:r w:rsidRPr="00D826C8">
        <w:rPr>
          <w:rFonts w:ascii="Times New Roman" w:hAnsi="Times New Roman"/>
          <w:sz w:val="24"/>
          <w:szCs w:val="24"/>
        </w:rPr>
        <w:t>rGH</w:t>
      </w:r>
      <w:proofErr w:type="spellEnd"/>
      <w:r w:rsidRPr="00D826C8">
        <w:rPr>
          <w:rFonts w:ascii="Times New Roman" w:hAnsi="Times New Roman"/>
          <w:sz w:val="24"/>
          <w:szCs w:val="24"/>
        </w:rPr>
        <w:t>). Growth hormone (GH) is</w:t>
      </w:r>
      <w:r w:rsidRPr="00D826C8">
        <w:rPr>
          <w:rFonts w:ascii="Times New Roman" w:hAnsi="Times New Roman"/>
          <w:color w:val="FF0000"/>
          <w:sz w:val="24"/>
          <w:szCs w:val="24"/>
        </w:rPr>
        <w:t xml:space="preserve"> </w:t>
      </w:r>
      <w:r w:rsidRPr="00D826C8">
        <w:rPr>
          <w:rFonts w:ascii="Times New Roman" w:hAnsi="Times New Roman"/>
          <w:sz w:val="24"/>
          <w:szCs w:val="24"/>
        </w:rPr>
        <w:t xml:space="preserve">a hormone secreted by the pituitary gland of an individual. GH in an individual has a limited amount and is only used for himself. Growth hormone functions to improve and stimulate individual fish growth through fat conversion and increase protein biosynthesis, metabolic system, osmoregulation, reproduction, immune function, and improve feed conversion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{"citationItems":[{"id":"ITEM-1","itemData":{"DOI":"10.1590/s1415-47572008000200037","ISSN":"16784685","abstract":"RT-PCR was used for amplifying Piaractus mesopotamicus growth hormone (GH) cDNA obtained from mRNA extracted from pituitary cells. The amplified fragment was cloned and the complete cDNA sequence was determined. The cloned cDNA encompassed a sequence of 543 nucleotides that encoded a polypeptide of 178 amino acids corresponding to mature P. mesopotamicus GH. Comparison with other GH sequences showed a gap of 10 amino acids localized in the N terminus of the putative polypeptide of P. mesopotamicus. This same gap was also observed in other members of the family. Neighbor-joining tree analysis with GH sequences from fishes belonging to different taxonomic groups placed the P. mesopotamicus GH within the Otophysi group. To our knowledge, this is the first GH sequence of a Neotropical characiform fish deposited in GenBank. Copyright © 2008, Sociedade Brasileira de Genética.","author":[{"dropping-particle":"","family":"Pinheiro","given":"Janeth Silva","non-dropping-particle":"","parse-names":false,"suffix":""},{"dropping-particle":"","family":"Wolff","given":"José Luiz Caldas","non-dropping-particle":"","parse-names":false,"suffix":""},{"dropping-particle":"","family":"Araújo","given":"Ronaldo de Carvalho","non-dropping-particle":"","parse-names":false,"suffix":""},{"dropping-particle":"","family":"Hilsdorf","given":"Alexandre Wagner Silva","non-dropping-particle":"","parse-names":false,"suffix":""}],"container-title":"Genetics and Molecular Biology","id":"ITEM-1","issue":"1 SUPPL. 1","issued":{"date-parts":[["2008"]]},"page":"381-384","title":"Molecular cloning and sequence analysis of growth hormone cDNA of Neotropical freshwater fish Pacu (Piaractus mesopotamicus)","type":"article-journal","volume":"31"},"uris":["http://www.mendeley.com/documents/?uuid=351ec6a5-aab0-453d-96c3-4019f9db21cb"]},{"id":"ITEM-2","itemData":{"DOI":"10.1271/bbb.64.1553","ISSN":"13476947","PMID":"10993139","abstract":"Insulin-like growth factor-I (IGF-I) isa mitogenic polypeptide that plays an essential role in the regulation of development and somatic growth of vertebrates, mainly by mediating growth hormone actions. It has clearly been established that the structure of IGF-I and its biological function has been highly conserved among vertebrates. In this paper, we review the recent developments in the molecular, biochemical, and physiological properties of IGF-I in fish. © 2000, Taylor &amp; Francis Group, LLC. All rights reserved.","author":[{"dropping-particle":"","family":"Moriyama","given":"Shunsuke","non-dropping-particle":"","parse-names":false,"suffix":""},{"dropping-particle":"","family":"Ayson","given":"Felix G.","non-dropping-particle":"","parse-names":false,"suffix":""},{"dropping-particle":"","family":"Kawauchi","given":"Hiroshi","non-dropping-particle":"","parse-names":false,"suffix":""}],"container-title":"Bioscience, Biotechnology and Biochemistry","id":"ITEM-2","issue":"8","issued":{"date-parts":[["2000"]]},"page":"1553-1562","title":"Growth regulation by insulin-like growth factor-i in fish","type":"article-journal","volume":"64"},"uris":["http://www.mendeley.com/documents/?uuid=419ded1a-efb5-4156-9f56-33a0e7c2a67d"]},{"id":"ITEM-3","itemData":{"DOI":"http://dx.doi.org/10.15578/jra.4.2.2009.213-219","ISSN":"2502-6534","abstract":"Hormon pertumbuhan (Growth Hormone/GH) pada ikan berperan untuk memacu pertumbuhan, di samping terlibat juga dalam fungsi osmoregulasi, pengaturan keseimbangan cairan elektrolit, dan proses-proses metabolisme. Metode CTAB (Cetyl Trymethyl Ammonium Bromide) digunakan untuk mengisolasi DNA sel ikan (DNA genomik) dari sirip ekor ikan mas Majalaya dan nila GIFT. Isolasi gen hormon pertumbuhan dari DNA genomik kedua jenis ikan dapat disintesis dengan primer cGH (carp Growth Hormone) dan TiGH (Tilapia Growth Hormone) menggunakan metode PCR (Polymerase Chain Reaction). Hasil elektroforegram produk amplifikasi PCR untuk sebagian gen hormon pertumbuhan ikan mas Majalaya dapat dideteksi dengan ukuran fragmen DNA sebesar 615 bp dan 349 bp. Fragmen DNA hormon pertumbuhan ikan nila GIFT dapat dideteksi dengan ukuran 597 bp. KATA","author":[{"dropping-particle":"","family":"Buwono","given":"Ibnu Dwi","non-dropping-particle":"","parse-names":false,"suffix":""},{"dropping-particle":"","family":"Suparta","given":"Maman Herman","non-dropping-particle":"","parse-names":false,"suffix":""}],"container-title":"Jurnal Riset Akuakultur","id":"ITEM-3","issue":"2","issued":{"date-parts":[["2009"]]},"page":"213-219","title":"Isolation of partial fragments of growth hormone of Majalaya carp fish and GIFT nile using CTAB–PCR methods.","type":"article-journal","volume":"4"},"uris":["http://www.mendeley.com/documents/?uuid=ead30774-0c8e-4d1e-982c-a57faa84d730"]},{"id":"ITEM-4","itemData":{"DOI":"10.15578/jra.7.3.2012.371-379","ISSN":"1907-6754","abstract":"Isolasi gen hormon pertumbuhan lele dumbo (C. gariepinus) dari hipofisa ikanmerupakan sumber DNA yang selanjutnya dapat digunakan sebagai cetakan untuk mengkopi gen tersebut menggunakan primer Amc-GH-F dan Amc-GH-R. Fragmen DNA lele dumbo hasil isolasi terdeteksi berdasar elektroforesis gel agarosa 1%. Amplifikasi gen penyandi hormon pertumbuhan (Growth Hormone / GH) lele dumbo menggunakan primer Amc-GH-F (5’-GCAGAAATGGCTCGAGGTAAGG-3’) dan Amc-GH-R (5’-CAGGGTGCAGTTGGAATCC-3’) dapat mengkopi sekuen gen GH lele dengan ukuran fragmen PCR sekitar 1.400 bp. Sementara amplikon gen GH American catfish (Rhamdia quelen) menggunakan primer Amc-GH-F dan Amc-GH-R sebesar 1.465 bp. Hasil analisis sekuensing gen penyandi GH menggunakan program BlastP dan Genetyx versi 7.0, menunjukkan bahwa sekuen gen penyandi GH lele dumbo memiliki homologi 80% dengan sekuen GH C. gariepinus pada bank gen (no. aksesi AF 416488.1), sehingga sebagian besar sekuen gen penyandi hormon pertumbuhan ikan tersebut dapat diamplifikasi secara in vitro.","author":[{"dropping-particle":"","family":"Buwono","given":"Ibnu Dwi","non-dropping-particle":"","parse-names":false,"suffix":""},{"dropping-particle":"","family":"Carsono","given":"Nono","non-dropping-particle":"","parse-names":false,"suffix":""},{"dropping-particle":"","family":"Mulyani","given":"Yuniar","non-dropping-particle":"","parse-names":false,"suffix":""}],"container-title":"Jurnal Riset Akuakultur","id":"ITEM-4","issue":"3","issued":{"date-parts":[["2012"]]},"page":"371-379","title":"Isolation and analysis of growth hormone gene African catfish (Clarias gariepinus Burch)","type":"article-journal","volume":"7"},"uris":["http://www.mendeley.com/documents/?uuid=c8990a09-5b16-4520-965a-a34d6885dd61"]}],"mendeley":{"formattedCitation":"(Buwono et al., 2012; Buwono &amp; Suparta, 2009; Moriyama et al., 2000; Pinheiro et al., 2008)","plainTextFormattedCitation":"(Buwono et al., 2012; Buwono &amp; Suparta, 2009; Moriyama et al., 2000; Pinheiro et al., 2008)","previouslyFormattedCitation":"(Buwono, Carsono, and Mulyani 2012; Buwono and Suparta 2009; Moriyama, Ayson, and Kawauchi 2000; Pinheiro et al. 2008)"},"properties":{"noteIndex":0},"schema":"https://github.com/citation-style-language/schema/raw/master/csl-citation.json"}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(Buwono </w:t>
      </w:r>
      <w:r w:rsidR="00D826C8" w:rsidRPr="00527443">
        <w:rPr>
          <w:rFonts w:ascii="Times New Roman" w:hAnsi="Times New Roman"/>
          <w:i/>
          <w:iCs/>
          <w:noProof/>
          <w:sz w:val="24"/>
          <w:szCs w:val="24"/>
        </w:rPr>
        <w:t>et al</w:t>
      </w:r>
      <w:r w:rsidR="00D826C8" w:rsidRPr="00D826C8">
        <w:rPr>
          <w:rFonts w:ascii="Times New Roman" w:hAnsi="Times New Roman"/>
          <w:noProof/>
          <w:sz w:val="24"/>
          <w:szCs w:val="24"/>
        </w:rPr>
        <w:t xml:space="preserve">., 2012; Buwono &amp; Suparta, 2009; Moriyama </w:t>
      </w:r>
      <w:r w:rsidR="00D826C8" w:rsidRPr="00527443">
        <w:rPr>
          <w:rFonts w:ascii="Times New Roman" w:hAnsi="Times New Roman"/>
          <w:i/>
          <w:iCs/>
          <w:noProof/>
          <w:sz w:val="24"/>
          <w:szCs w:val="24"/>
        </w:rPr>
        <w:t>et al</w:t>
      </w:r>
      <w:r w:rsidR="00D826C8" w:rsidRPr="00D826C8">
        <w:rPr>
          <w:rFonts w:ascii="Times New Roman" w:hAnsi="Times New Roman"/>
          <w:noProof/>
          <w:sz w:val="24"/>
          <w:szCs w:val="24"/>
        </w:rPr>
        <w:t xml:space="preserve">., 2000; Pinheiro </w:t>
      </w:r>
      <w:r w:rsidR="00D826C8" w:rsidRPr="00527443">
        <w:rPr>
          <w:rFonts w:ascii="Times New Roman" w:hAnsi="Times New Roman"/>
          <w:i/>
          <w:iCs/>
          <w:noProof/>
          <w:sz w:val="24"/>
          <w:szCs w:val="24"/>
        </w:rPr>
        <w:t>et al</w:t>
      </w:r>
      <w:r w:rsidR="00D826C8" w:rsidRPr="00D826C8">
        <w:rPr>
          <w:rFonts w:ascii="Times New Roman" w:hAnsi="Times New Roman"/>
          <w:noProof/>
          <w:sz w:val="24"/>
          <w:szCs w:val="24"/>
        </w:rPr>
        <w:t>., 2008)</w:t>
      </w:r>
      <w:r w:rsidRPr="00D826C8">
        <w:rPr>
          <w:rFonts w:ascii="Times New Roman" w:hAnsi="Times New Roman"/>
          <w:sz w:val="24"/>
          <w:szCs w:val="24"/>
        </w:rPr>
        <w:fldChar w:fldCharType="end"/>
      </w:r>
      <w:r w:rsidRPr="00D826C8">
        <w:rPr>
          <w:rFonts w:ascii="Times New Roman" w:hAnsi="Times New Roman"/>
          <w:sz w:val="24"/>
          <w:szCs w:val="24"/>
        </w:rPr>
        <w:t xml:space="preserve">. To get growth hormone, it is necessary to isolate the GH gene. GH gene can be isolated from the fish pituitary to obtain genomic DNA or mRNA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{"citationItems":[{"id":"ITEM-1","itemData":{"DOI":"http://dx.doi.org/10.15578/jra.2.2.2007.199-210","abstract":"Promoter as gene expression regulator is one of the factors affecting the successful of transgenesis. Isolation and characterization of β-actin promoter (ktBA) from humpback grouper (Cromileptes altivelis) towards generation of autotransgenic grouper have been conducted. β-actin promoter has high activity in muscle. Sequence of ktBA promoter was isolated by using degenerate PCR method. Sequencing was performed using ABI PRISM 3100 machine. Analysis of sequences was conducted using BLAST, GENETYX version 7 and TFBind softwares. DNA fragment of PCR amplification product digested from the vector cloning was then ligated with pEGFP\u0002N1 to generate pktBA-GFP construct. The construct was microinjected into one-cell stage of zebrafish (Danio rerio) embryos to test the ktBA promoter activity. EGFP gene expression was observed by fluorescence microscope. The result of sequence analysis showed that the length of DNA fragment obtained is about 1.6 kb and","author":[{"dropping-particle":"","family":"Alimuddin","given":"","non-dropping-particle":"","parse-names":false,"suffix":""},{"dropping-particle":"","family":"Nugrahani","given":"Wedaraningtyas","non-dropping-particle":"","parse-names":false,"suffix":""},{"dropping-particle":"","family":"Aliah","given":"Ratu Siti","non-dropping-particle":"","parse-names":false,"suffix":""},{"dropping-particle":"","family":"Sumantadinata","given":"Komar","non-dropping-particle":"","parse-names":false,"suffix":""}],"container-title":"Jurnal Riset Akuakultur","id":"ITEM-1","issue":"2","issued":{"date-parts":[["2007"]]},"page":"199-210","title":"Isolation and characterization of B-actin promoter from humpback grouper (Cromileptes altivelis)","type":"article-journal","volume":"2"},"uris":["http://www.mendeley.com/documents/?uuid=cf7c4afd-2e92-4544-b6d5-3f240141922b"]},{"id":"ITEM-2","itemData":{"DOI":"10.15578/jra.7.3.2012.371-379","ISSN":"1907-6754","abstract":"Isolasi gen hormon pertumbuhan lele dumbo (C. gariepinus) dari hipofisa ikanmerupakan sumber DNA yang selanjutnya dapat digunakan sebagai cetakan untuk mengkopi gen tersebut menggunakan primer Amc-GH-F dan Amc-GH-R. Fragmen DNA lele dumbo hasil isolasi terdeteksi berdasar elektroforesis gel agarosa 1%. Amplifikasi gen penyandi hormon pertumbuhan (Growth Hormone / GH) lele dumbo menggunakan primer Amc-GH-F (5’-GCAGAAATGGCTCGAGGTAAGG-3’) dan Amc-GH-R (5’-CAGGGTGCAGTTGGAATCC-3’) dapat mengkopi sekuen gen GH lele dengan ukuran fragmen PCR sekitar 1.400 bp. Sementara amplikon gen GH American catfish (Rhamdia quelen) menggunakan primer Amc-GH-F dan Amc-GH-R sebesar 1.465 bp. Hasil analisis sekuensing gen penyandi GH menggunakan program BlastP dan Genetyx versi 7.0, menunjukkan bahwa sekuen gen penyandi GH lele dumbo memiliki homologi 80% dengan sekuen GH C. gariepinus pada bank gen (no. aksesi AF 416488.1), sehingga sebagian besar sekuen gen penyandi hormon pertumbuhan ikan tersebut dapat diamplifikasi secara in vitro.","author":[{"dropping-particle":"","family":"Buwono","given":"Ibnu Dwi","non-dropping-particle":"","parse-names":false,"suffix":""},{"dropping-particle":"","family":"Carsono","given":"Nono","non-dropping-particle":"","parse-names":false,"suffix":""},{"dropping-particle":"","family":"Mulyani","given":"Yuniar","non-dropping-particle":"","parse-names":false,"suffix":""}],"container-title":"Jurnal Riset Akuakultur","id":"ITEM-2","issue":"3","issued":{"date-parts":[["2012"]]},"page":"371-379","title":"Isolation and analysis of growth hormone gene African catfish (Clarias gariepinus Burch)","type":"article-journal","volume":"7"},"uris":["http://www.mendeley.com/documents/?uuid=c8990a09-5b16-4520-965a-a34d6885dd61"]}],"mendeley":{"formattedCitation":"(Alimuddin et al., 2007; Buwono et al., 2012)","plainTextFormattedCitation":"(Alimuddin et al., 2007; Buwono et al., 2012)","previouslyFormattedCitation":"(Alimuddin et al. 2007; Buwono et al. 2012)"},"properties":{"noteIndex":0},"schema":"https://github.com/citation-style-language/schema/raw/master/csl-citation.json"}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(Alimuddin</w:t>
      </w:r>
      <w:r w:rsidR="00D826C8" w:rsidRPr="00527443">
        <w:rPr>
          <w:rFonts w:ascii="Times New Roman" w:hAnsi="Times New Roman"/>
          <w:i/>
          <w:iCs/>
          <w:noProof/>
          <w:sz w:val="24"/>
          <w:szCs w:val="24"/>
        </w:rPr>
        <w:t xml:space="preserve"> et al</w:t>
      </w:r>
      <w:r w:rsidR="00D826C8" w:rsidRPr="00D826C8">
        <w:rPr>
          <w:rFonts w:ascii="Times New Roman" w:hAnsi="Times New Roman"/>
          <w:noProof/>
          <w:sz w:val="24"/>
          <w:szCs w:val="24"/>
        </w:rPr>
        <w:t xml:space="preserve">., 2007; Buwono </w:t>
      </w:r>
      <w:r w:rsidR="00D826C8" w:rsidRPr="00527443">
        <w:rPr>
          <w:rFonts w:ascii="Times New Roman" w:hAnsi="Times New Roman"/>
          <w:i/>
          <w:iCs/>
          <w:noProof/>
          <w:sz w:val="24"/>
          <w:szCs w:val="24"/>
        </w:rPr>
        <w:t>et al.</w:t>
      </w:r>
      <w:r w:rsidR="00D826C8" w:rsidRPr="00D826C8">
        <w:rPr>
          <w:rFonts w:ascii="Times New Roman" w:hAnsi="Times New Roman"/>
          <w:noProof/>
          <w:sz w:val="24"/>
          <w:szCs w:val="24"/>
        </w:rPr>
        <w:t>, 2012)</w:t>
      </w:r>
      <w:r w:rsidRPr="00D826C8">
        <w:rPr>
          <w:rFonts w:ascii="Times New Roman" w:hAnsi="Times New Roman"/>
          <w:sz w:val="24"/>
          <w:szCs w:val="24"/>
        </w:rPr>
        <w:fldChar w:fldCharType="end"/>
      </w:r>
      <w:r w:rsidRPr="00D826C8">
        <w:rPr>
          <w:rFonts w:ascii="Times New Roman" w:hAnsi="Times New Roman"/>
          <w:sz w:val="24"/>
          <w:szCs w:val="24"/>
        </w:rPr>
        <w:t xml:space="preserve">. </w:t>
      </w:r>
    </w:p>
    <w:p w14:paraId="48DE910F" w14:textId="02C7DA5B" w:rsidR="00D612CC" w:rsidRPr="00D826C8" w:rsidRDefault="00D612CC" w:rsidP="00990E2D">
      <w:pPr>
        <w:spacing w:line="240" w:lineRule="auto"/>
        <w:ind w:firstLine="709"/>
        <w:jc w:val="both"/>
        <w:rPr>
          <w:rFonts w:ascii="Times New Roman" w:hAnsi="Times New Roman"/>
          <w:sz w:val="24"/>
          <w:szCs w:val="24"/>
        </w:rPr>
      </w:pPr>
      <w:r w:rsidRPr="00D826C8">
        <w:rPr>
          <w:rFonts w:ascii="Times New Roman" w:hAnsi="Times New Roman"/>
          <w:sz w:val="24"/>
          <w:szCs w:val="24"/>
        </w:rPr>
        <w:t xml:space="preserve">The utilization of growth hormone in fish culture has been widely applied through the transgenesis method. Transgenics in carp have been carried out by inserting the </w:t>
      </w:r>
      <w:proofErr w:type="spellStart"/>
      <w:r w:rsidRPr="00D826C8">
        <w:rPr>
          <w:rFonts w:ascii="Times New Roman" w:hAnsi="Times New Roman"/>
          <w:sz w:val="24"/>
          <w:szCs w:val="24"/>
        </w:rPr>
        <w:t>TiGH</w:t>
      </w:r>
      <w:proofErr w:type="spellEnd"/>
      <w:r w:rsidRPr="00D826C8">
        <w:rPr>
          <w:rFonts w:ascii="Times New Roman" w:hAnsi="Times New Roman"/>
          <w:sz w:val="24"/>
          <w:szCs w:val="24"/>
        </w:rPr>
        <w:t xml:space="preserve"> gene (GH tilapia), which can increase the growth of carp higher </w:t>
      </w:r>
      <w:r w:rsidRPr="00D826C8">
        <w:rPr>
          <w:rFonts w:ascii="Times New Roman" w:hAnsi="Times New Roman"/>
          <w:sz w:val="24"/>
          <w:szCs w:val="24"/>
        </w:rPr>
        <w:lastRenderedPageBreak/>
        <w:t xml:space="preserve">than control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{"citationItems":[{"id":"ITEM-1","itemData":{"abstract":"Common carp Cyprinus carpio is one of the economically valuable aquaculture fish species in Indonesia. This research was aimed to produce transgenic common carp that grow rapidly by over-expressing the tilapia growth hormone (tiGH) gene. Trangenic common carp were produced by sperm- mediated gene transfer using electroporation method. In this study, two electroporation programs that developed by other researcher were applied to obtain a suitable electroporation method for common carp. The electroporated sperm were then used to fertilize eggs to produce F0 transgenic fish. Transgenic F0 carrying tiGH in their sperm were crossed with non-transgenic fish to produce transgenic first (F1) generation. Identification of transgenic fish was performed by PCR method using specific primer for tiGH gene. Expression of tiGH was analyzed using RT-PCR method and growth measurement at F1 fish generation. The results showed that electroporation of sperm using 50 Volt/cm, and DNA concentration of 25 ng/µl was produced higher percentarge of fish carrying tiGH in their gamet compared to that of another electroporation program (40 Volt/cm, DNA concentration of 50 ng/µl). Five sexually matured males F0 transgenic fish were selected and mated with non-transgenic to produce F1 generation. Percentage of F1 progenies carrying tiGH was 47,2-66,7%. Variated measure of F1 genereations was 10,1-&gt;12,0 cm size (22,5%-42,9%), 8,1-&gt;10,0 cm size (14,3%-42,9%), 6,1-&gt;8,0 cm size (11,9%-29,2%), 4,1-&gt;6,0 cm size (0,0%- 39,3%). Increasing of growth of F1 was about 1,4-1,87 times for non transgenic fish. Survival of transgenic and non-transgenic F1 was generally similar. RT-PCR analysis showed that the F1 transgenic fish have tiGH gene expression in caudal fin, while no expression in non-transgenic fish were found. Thus, the increased body weight of F1 transgenic common carp was associated with expression of tiGH gene, and this fish can be used as broodstock for the production of fast-grow stable transgenic common carp.","author":[{"dropping-particle":"","family":"Faridah","given":"Nurly","non-dropping-particle":"","parse-names":false,"suffix":""}],"id":"ITEM-1","issued":{"date-parts":[["2012"]]},"number-of-pages":"58","publisher":"IPB University","title":"Introduction and expression of growth hormone gene on transgenic common carp","type":"thesis"},"uris":["http://www.mendeley.com/documents/?uuid=3f91ad34-aa64-419f-8ad1-a73502a1b5a1"]},{"id":"ITEM-2","itemData":{"DOI":"10.1016/j.hjb.2016.12.002","ISSN":"20864094","abstract":"Transgenic has been known as one of the applicable methods to improve growth performance of cultured fish. This study was performed to evaluate the growth performance, survival, and body composition of the 3rd generation of growth hormone (GH) transgenic common carp (TG). Juveniles (BW: 1.53 ± 0.03 g) were reared for 60 days in 250-L glass aquarium with stocking density of 25 fishes/aquarium. Fishes were fed with commercial feed (protein content 36%), three times a day to satiation. Growth and survival were measured every 20 days. Our results showed that TG fish has 1.49 times higher in average weight growth (p &lt; 0.05) compared with the non-transgenic common carp (NT). Higher total feed consumption, survival, body protein content, protein and lipid retention, hepatosomatic index, and lower feed conversion ratio were also shown on TG fish compared with NT fish (p &lt; 0.05). However, body lipid content and blood glucose level of TG fish were lower (p &lt; 0.05) compared with the NT fish. Total ammonium nitrogen level in rearing media of TG fish was 51.78% lower (p &lt; 0.05) than that of the NT fish. In conclusion, culturing of GH-TG common carp showed potential to achieve high productivity, efficient, and environmental-friendly aquaculture.","author":[{"dropping-particle":"","family":"Kurdianto","given":"","non-dropping-particle":"","parse-names":false,"suffix":""},{"dropping-particle":"","family":"Alimuddin","given":"","non-dropping-particle":"","parse-names":false,"suffix":""},{"dropping-particle":"","family":"Faridah","given":"Nurly","non-dropping-particle":"","parse-names":false,"suffix":""},{"dropping-particle":"","family":"Yoshizaki","given":"Goro","non-dropping-particle":"","parse-names":false,"suffix":""},{"dropping-particle":"","family":"Nuryati","given":"Sri","non-dropping-particle":"","parse-names":false,"suffix":""},{"dropping-particle":"","family":"Setiawati","given":"Mia","non-dropping-particle":"","parse-names":false,"suffix":""}],"container-title":"HAYATI Journal of Biosciences","id":"ITEM-2","issue":"3","issued":{"date-parts":[["2016"]]},"page":"150-154","publisher":"Elsevier Ltd","title":"Growth, Survival, and Body Composition of Transgenic Common Carp Cyprinus carpio 3rd Generation Expressing Tilapia Growth Hormone cDNA","type":"article-journal","volume":"23"},"uris":["http://www.mendeley.com/documents/?uuid=fd6f58d4-8f68-4846-873e-1fbf08e17681"]}],"mendeley":{"formattedCitation":"(Faridah, 2012; Kurdianto et al., 2016)","plainTextFormattedCitation":"(Faridah, 2012; Kurdianto et al., 2016)","previouslyFormattedCitation":"(Faridah 2012; Kurdianto et al. 2016)"},"properties":{"noteIndex":0},"schema":"https://github.com/citation-style-language/schema/raw/master/csl-citation.json"}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(Faridah, 2012; Kurdianto </w:t>
      </w:r>
      <w:r w:rsidR="00D826C8" w:rsidRPr="00527443">
        <w:rPr>
          <w:rFonts w:ascii="Times New Roman" w:hAnsi="Times New Roman"/>
          <w:i/>
          <w:iCs/>
          <w:noProof/>
          <w:sz w:val="24"/>
          <w:szCs w:val="24"/>
        </w:rPr>
        <w:t>et al</w:t>
      </w:r>
      <w:r w:rsidR="00D826C8" w:rsidRPr="00D826C8">
        <w:rPr>
          <w:rFonts w:ascii="Times New Roman" w:hAnsi="Times New Roman"/>
          <w:noProof/>
          <w:sz w:val="24"/>
          <w:szCs w:val="24"/>
        </w:rPr>
        <w:t>., 2016)</w:t>
      </w:r>
      <w:r w:rsidRPr="00D826C8">
        <w:rPr>
          <w:rFonts w:ascii="Times New Roman" w:hAnsi="Times New Roman"/>
          <w:sz w:val="24"/>
          <w:szCs w:val="24"/>
        </w:rPr>
        <w:fldChar w:fldCharType="end"/>
      </w:r>
      <w:r w:rsidRPr="00D826C8">
        <w:rPr>
          <w:rFonts w:ascii="Times New Roman" w:hAnsi="Times New Roman"/>
          <w:sz w:val="24"/>
          <w:szCs w:val="24"/>
        </w:rPr>
        <w:t xml:space="preserve">. In Siamese catfish, the insertion of the </w:t>
      </w:r>
      <w:proofErr w:type="spellStart"/>
      <w:r w:rsidRPr="00D826C8">
        <w:rPr>
          <w:rFonts w:ascii="Times New Roman" w:hAnsi="Times New Roman"/>
          <w:sz w:val="24"/>
          <w:szCs w:val="24"/>
        </w:rPr>
        <w:t>PhGH</w:t>
      </w:r>
      <w:proofErr w:type="spellEnd"/>
      <w:r w:rsidRPr="00D826C8">
        <w:rPr>
          <w:rFonts w:ascii="Times New Roman" w:hAnsi="Times New Roman"/>
          <w:sz w:val="24"/>
          <w:szCs w:val="24"/>
        </w:rPr>
        <w:t xml:space="preserve"> gene through sperm has also been successfully conducted through the electroporation method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{"citationItems":[{"id":"ITEM-1","itemData":{"DOI":"10.15578/jra.7.2.2012.171-180","ISSN":"1907-6754","abstract":"Penggunaan konsentrasi DNA yang tinggi dalam elektroporasi sperma meningkatkan pengikatan DNA eksogen pada sperma, dan meningkatkan persentase ikan yang membawa gen asing. Pada penelitian ini, konstruksi gen pCcBA-PhGH yang mengandung promoter β-aktin ikan mas (pCcBA) dan cDNA hormon pertumbuhan (PhGH) ikan patin siam (Pangasianodon hypophthalmus) dibuat dan selanjutnya ditransfer menggunakan metode elektroporasi pada sperma yang berperan sebagai perantara. Elektroporasi dilakukan dengan tipe kejutan square wave dengan panjang kejutan (pulse length) 30 milidetik, interval kejutan (pulse interval) 0,1 detik, kuat medan listrik (electric field strength) 125 V/cm, dan jumlah kejutan (pulse number) 3 kali. Hasil penelitian menunjukkan bahwa keberhasilan transfer gen PhGH eksogen pada ikan patin siam meningkat dengan meningkatnya konsentrasi DNA yang digunakan. Persentase ikan yang membawa gen asing pada konsentrasi DNA 10 μg/mL, 50 μg/mL, dan 90 μg/mL, secara berturut-turut adalah 28,57%; 78,57%; dan 85,71%. Bobot ratarata yuwana ikan patin siam transgenik F0 umur 2 bulan yang dihasilkan menggunakan konsentrasi DNA 50 μg/mL dan 90 μg/mL adalah 22,6% dan 19,0% lebih berat dibandingkan non-transgenik, tetapi pada konsentrasi 10 μg/mL lebih rendah (-8.45%). Populasi yuwana ikan patin siam berumur 4 bulan yang diintroduksi gen asing dengan konsentrasi 90 μg/mL memiliki bobot rataan 53,38% lebih berat dibandingkan kontrol non-transgenik. Dengan menggunakan metode RT-PCR, ekspresi gen PhGH terdeteksi pada sirip ikan transgenik, sedangkan pada ikan non-transgenik tidak terdeteksi. Dengandemikian, elektroporasi sperma menggunakan konsentrasi DNA 90 μg/mL efektif meningkatkan keberhasilan transfer gen, dan over-ekspresi gen PhGH eksogen meningkatkan pertumbuhan ikan patin siam.","author":[{"dropping-particle":"","family":"Dewi","given":"Raden Roro Sri Pudji Sinarni","non-dropping-particle":"","parse-names":false,"suffix":""},{"dropping-particle":"","family":"Alimuddin","given":"","non-dropping-particle":"","parse-names":false,"suffix":""},{"dropping-particle":"","family":"Sudrajat","given":"Agus Oman","non-dropping-particle":"","parse-names":false,"suffix":""},{"dropping-particle":"","family":"Sumantadinata","given":"Komar","non-dropping-particle":"","parse-names":false,"suffix":""}],"container-title":"Jurnal Riset Akuakultur","id":"ITEM-1","issue":"2","issued":{"date-parts":[["2012"]]},"page":"171-180","title":"PhGH gene transfer effectivity and expression on stripped catfish (Pangasianodon hypophthalmus)","type":"article-journal","volume":"7"},"uris":["http://www.mendeley.com/documents/?uuid=18ce81e1-c79e-4052-971b-670f8f11bce4"]}],"mendeley":{"formattedCitation":"(Dewi et al., 2012)","plainTextFormattedCitation":"(Dewi et al., 2012)","previouslyFormattedCitation":"(Dewi et al. 2012)"},"properties":{"noteIndex":0},"schema":"https://github.com/citation-style-language/schema/raw/master/csl-citation.json"}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(Dewi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2012)</w:t>
      </w:r>
      <w:r w:rsidRPr="00D826C8">
        <w:rPr>
          <w:rFonts w:ascii="Times New Roman" w:hAnsi="Times New Roman"/>
          <w:sz w:val="24"/>
          <w:szCs w:val="24"/>
        </w:rPr>
        <w:fldChar w:fldCharType="end"/>
      </w:r>
      <w:r w:rsidRPr="00D826C8">
        <w:rPr>
          <w:rFonts w:ascii="Times New Roman" w:hAnsi="Times New Roman"/>
          <w:sz w:val="24"/>
          <w:szCs w:val="24"/>
        </w:rPr>
        <w:t xml:space="preserve">. The </w:t>
      </w:r>
      <w:proofErr w:type="spellStart"/>
      <w:r w:rsidRPr="00D826C8">
        <w:rPr>
          <w:rFonts w:ascii="Times New Roman" w:hAnsi="Times New Roman"/>
          <w:sz w:val="24"/>
          <w:szCs w:val="24"/>
        </w:rPr>
        <w:t>PhGH</w:t>
      </w:r>
      <w:proofErr w:type="spellEnd"/>
      <w:r w:rsidRPr="00D826C8">
        <w:rPr>
          <w:rFonts w:ascii="Times New Roman" w:hAnsi="Times New Roman"/>
          <w:sz w:val="24"/>
          <w:szCs w:val="24"/>
        </w:rPr>
        <w:t xml:space="preserve"> gene from catfish has also been successfully applied to betta fish (</w:t>
      </w:r>
      <w:r w:rsidRPr="00D826C8">
        <w:rPr>
          <w:rFonts w:ascii="Times New Roman" w:hAnsi="Times New Roman"/>
          <w:i/>
          <w:iCs/>
          <w:sz w:val="24"/>
          <w:szCs w:val="24"/>
        </w:rPr>
        <w:t xml:space="preserve">Betta </w:t>
      </w:r>
      <w:proofErr w:type="spellStart"/>
      <w:r w:rsidRPr="00D826C8">
        <w:rPr>
          <w:rFonts w:ascii="Times New Roman" w:hAnsi="Times New Roman"/>
          <w:i/>
          <w:iCs/>
          <w:sz w:val="24"/>
          <w:szCs w:val="24"/>
        </w:rPr>
        <w:t>imbellis</w:t>
      </w:r>
      <w:proofErr w:type="spellEnd"/>
      <w:r w:rsidRPr="00D826C8">
        <w:rPr>
          <w:rFonts w:ascii="Times New Roman" w:hAnsi="Times New Roman"/>
          <w:sz w:val="24"/>
          <w:szCs w:val="24"/>
        </w:rPr>
        <w:t>) through the transfection method. It can increase the growth with an average gene transmission in F1 betta fish of 62.5</w:t>
      </w:r>
      <w:r w:rsidR="00C26768" w:rsidRPr="00D826C8">
        <w:rPr>
          <w:rFonts w:ascii="Times New Roman" w:hAnsi="Times New Roman"/>
          <w:sz w:val="24"/>
          <w:szCs w:val="24"/>
        </w:rPr>
        <w:t xml:space="preserve"> </w:t>
      </w:r>
      <w:r w:rsidRPr="00D826C8">
        <w:rPr>
          <w:rFonts w:ascii="Times New Roman" w:hAnsi="Times New Roman"/>
          <w:sz w:val="24"/>
          <w:szCs w:val="24"/>
        </w:rPr>
        <w:t xml:space="preserve">%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rini","given":"Eni","non-dropping-particle":"","parse-names":false,"suffix":""},{"dropping-particle":"","family":"Alimuddin","given":"","non-dropping-particle":"","parse-names":false,"suffix":""},{"dropping-particle":"","family":"Junior","given":"Muhammad Zairin","non-dropping-particle":"","parse-names":false,"suffix":""},{"dropping-particle":"","family":"Soelistyowati","given":"Dinar Tri","non-dropping-particle":"","parse-names":false,"suffix":""}],"container-title":"Pakistan Journal of Biotechnology","id":"ITEM-1","issue":"1","issued":{"date-parts":[["2018"]]},"page":"1-9","title":"Foreign growth hormone gene transmission and expression in F1 Transgenik Betta fish (Betta imbellis)","type":"article-journal","volume":"15"},"uris":["http://www.mendeley.com/documents/?uuid=0521d347-a8db-4880-80d7-ad337bf76f30"]}],"mendeley":{"formattedCitation":"(Kusrini et al., 2018)","plainTextFormattedCitation":"(Kusrini et al., 2018)","previouslyFormattedCitation":"(Kusrini et al. 2018)"},"properties":{"noteIndex":0},"schema":"https://github.com/citation-style-language/schema/raw/master/csl-citation.json"}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(Kusrini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2018)</w:t>
      </w:r>
      <w:r w:rsidRPr="00D826C8">
        <w:rPr>
          <w:rFonts w:ascii="Times New Roman" w:hAnsi="Times New Roman"/>
          <w:sz w:val="24"/>
          <w:szCs w:val="24"/>
        </w:rPr>
        <w:fldChar w:fldCharType="end"/>
      </w:r>
      <w:r w:rsidRPr="00D826C8">
        <w:rPr>
          <w:rFonts w:ascii="Times New Roman" w:hAnsi="Times New Roman"/>
          <w:sz w:val="24"/>
          <w:szCs w:val="24"/>
        </w:rPr>
        <w:t>.The utilization of growth hormone is not only through the transgenesis method but can also be applied by recombinant growth hormone (</w:t>
      </w:r>
      <w:proofErr w:type="spellStart"/>
      <w:r w:rsidRPr="00D826C8">
        <w:rPr>
          <w:rFonts w:ascii="Times New Roman" w:hAnsi="Times New Roman"/>
          <w:sz w:val="24"/>
          <w:szCs w:val="24"/>
        </w:rPr>
        <w:t>rGH</w:t>
      </w:r>
      <w:proofErr w:type="spellEnd"/>
      <w:r w:rsidRPr="00D826C8">
        <w:rPr>
          <w:rFonts w:ascii="Times New Roman" w:hAnsi="Times New Roman"/>
          <w:sz w:val="24"/>
          <w:szCs w:val="24"/>
        </w:rPr>
        <w:t xml:space="preserve">). The </w:t>
      </w:r>
      <w:proofErr w:type="spellStart"/>
      <w:r w:rsidRPr="00D826C8">
        <w:rPr>
          <w:rFonts w:ascii="Times New Roman" w:hAnsi="Times New Roman"/>
          <w:sz w:val="24"/>
          <w:szCs w:val="24"/>
        </w:rPr>
        <w:t>rGH</w:t>
      </w:r>
      <w:proofErr w:type="spellEnd"/>
      <w:r w:rsidRPr="00D826C8">
        <w:rPr>
          <w:rFonts w:ascii="Times New Roman" w:hAnsi="Times New Roman"/>
          <w:sz w:val="24"/>
          <w:szCs w:val="24"/>
        </w:rPr>
        <w:t xml:space="preserve"> method is safer in producing aquaculture products because it is not passed on to the next generation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{"citationItems":[{"id":"ITEM-1","itemData":{"DOI":"https://doi.org/10.14710/sat.v2i1.2561","abstract":"Increasing production of Puntius sp. fry can be done by shortening production time. A long production time can increse the feed demand so that, the cost wil be increase to. Efforts should be made to shorten the production time is by application of rGH. This research aims to determine the influence of recombinant growth hormon (rGH) with different dosage on the growth and survival of Puntius sp. fry as well as examining the best dosage of rGH. The experiment was conducted at the Technical APPHIS, Semarang, Central Java, in June 2017 – July 2017. Fish samples used are the fry of Puntius sp. Age 60 day old with an average weight of 1,13±0.01 g and length of 4.22±0.07 cm. This reaserch used experimental method with completely randomized design (CRD) consisting of 4 treatments with 3 time repetitions. The treatments is A (dosage of rGH 0 mg/kg diet), B (dosage of rGH 1 mg/kg diet), C (dosage of rGH 2 mg/kg diet), D (dosage of rGH 3 mg/kg diet). The variables measured include absolute total consumtion feed, feed conversion ratio (FCR), length growth, absolute weight growth, spesific growth rate (SGR), survival rate (SR), and water quality. The results showed that rGH administration via oral method significantly influences (F count &gt; F table) on the absolute length growth, absolute weight growth, spesific growth rate (SGR), total consumtion feed, and feed conversion ratio (FCR), but no effect (F count &lt; F table) for survival. Best growth results obtained with treatment C (dosage of rGH 2 mg/kg diet), with value of total consumtion feed 90,47±1,37 g, FCR 2,75±0,47, absolute growth length 3,08±0,14 cm, absolute growth weight 2,85±0,11 g, RGR 5,94±0,20% weight/day, and survival 92±2,31 %. For the best growth and survival rate of Puntius sp. try, recommended use 2 mk/kg of rGH in fish feed. Keywords:","author":[{"dropping-particle":"","family":"Apriliana","given":"Riri","non-dropping-particle":"","parse-names":false,"suffix":""},{"dropping-particle":"","family":"Basuki","given":"Fajar","non-dropping-particle":"","parse-names":false,"suffix":""},{"dropping-particle":"","family":"Agung","given":"Ristiawan","non-dropping-particle":"","parse-names":false,"suffix":""}],"container-title":"Jurnal Sains Akuakultur Tropis","id":"ITEM-1","issue":"July","issued":{"date-parts":[["2017"]]},"page":"49-58","title":"The effects of Recombinant Growth Hormone (rGH) with different doses for growth and survival of Java Barb Fish (Puntius sp.)","type":"article-journal","volume":"2"},"uris":["http://www.mendeley.com/documents/?uuid=eeb67d37-8b72-4710-a80b-cc5c115ff9bd"]}],"mendeley":{"formattedCitation":"(Apriliana et al., 2017)","plainTextFormattedCitation":"(Apriliana et al., 2017)","previouslyFormattedCitation":"(Apriliana, Basuki, and Agung 2017)"},"properties":{"noteIndex":0},"schema":"https://github.com/citation-style-language/schema/raw/master/csl-citation.json"}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(Apriliana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2017)</w:t>
      </w:r>
      <w:r w:rsidRPr="00D826C8">
        <w:rPr>
          <w:rFonts w:ascii="Times New Roman" w:hAnsi="Times New Roman"/>
          <w:sz w:val="24"/>
          <w:szCs w:val="24"/>
        </w:rPr>
        <w:fldChar w:fldCharType="end"/>
      </w:r>
      <w:r w:rsidRPr="00D826C8">
        <w:rPr>
          <w:rFonts w:ascii="Times New Roman" w:hAnsi="Times New Roman"/>
          <w:sz w:val="24"/>
          <w:szCs w:val="24"/>
        </w:rPr>
        <w:t xml:space="preserve">. One of the growth hormones that has been successfully commercialized is "Mina Grow”. “Mina Grow” is </w:t>
      </w:r>
      <w:proofErr w:type="spellStart"/>
      <w:r w:rsidRPr="00D826C8">
        <w:rPr>
          <w:rFonts w:ascii="Times New Roman" w:hAnsi="Times New Roman"/>
          <w:sz w:val="24"/>
          <w:szCs w:val="24"/>
        </w:rPr>
        <w:t>rGH</w:t>
      </w:r>
      <w:proofErr w:type="spellEnd"/>
      <w:r w:rsidRPr="00D826C8">
        <w:rPr>
          <w:rFonts w:ascii="Times New Roman" w:hAnsi="Times New Roman"/>
          <w:sz w:val="24"/>
          <w:szCs w:val="24"/>
        </w:rPr>
        <w:t xml:space="preserve"> from the giant grouper (</w:t>
      </w:r>
      <w:proofErr w:type="spellStart"/>
      <w:r w:rsidRPr="00D826C8">
        <w:rPr>
          <w:rFonts w:ascii="Times New Roman" w:hAnsi="Times New Roman"/>
          <w:sz w:val="24"/>
          <w:szCs w:val="24"/>
        </w:rPr>
        <w:t>rEIGH</w:t>
      </w:r>
      <w:proofErr w:type="spellEnd"/>
      <w:r w:rsidRPr="00D826C8">
        <w:rPr>
          <w:rFonts w:ascii="Times New Roman" w:hAnsi="Times New Roman"/>
          <w:sz w:val="24"/>
          <w:szCs w:val="24"/>
        </w:rPr>
        <w:t xml:space="preserve">). </w:t>
      </w:r>
      <w:proofErr w:type="spellStart"/>
      <w:r w:rsidRPr="00D826C8">
        <w:rPr>
          <w:rFonts w:ascii="Times New Roman" w:hAnsi="Times New Roman"/>
          <w:sz w:val="24"/>
          <w:szCs w:val="24"/>
        </w:rPr>
        <w:t>rEIGH</w:t>
      </w:r>
      <w:proofErr w:type="spellEnd"/>
      <w:r w:rsidRPr="00D826C8">
        <w:rPr>
          <w:rFonts w:ascii="Times New Roman" w:hAnsi="Times New Roman"/>
          <w:sz w:val="24"/>
          <w:szCs w:val="24"/>
        </w:rPr>
        <w:t xml:space="preserve"> began to be assembled after discovering three types of </w:t>
      </w:r>
      <w:proofErr w:type="spellStart"/>
      <w:r w:rsidRPr="00D826C8">
        <w:rPr>
          <w:rFonts w:ascii="Times New Roman" w:hAnsi="Times New Roman"/>
          <w:sz w:val="24"/>
          <w:szCs w:val="24"/>
        </w:rPr>
        <w:t>rGH</w:t>
      </w:r>
      <w:proofErr w:type="spellEnd"/>
      <w:r w:rsidRPr="00D826C8">
        <w:rPr>
          <w:rFonts w:ascii="Times New Roman" w:hAnsi="Times New Roman"/>
          <w:sz w:val="24"/>
          <w:szCs w:val="24"/>
        </w:rPr>
        <w:t xml:space="preserve"> vectors from grouper, gourami, and carp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{"citationItems":[{"id":"ITEM-1","itemData":{"DOI":"10.15578/iaj.5.1.2010.11-17","ISSN":"0215-0883","abstract":"This study was aimed to produce recombinant growth hormone (rGH) from giant grouper (Epinephelus lanceolatus), giant gouramy (Osphronemus gouramy) and common carp (Cyprinus carpio) and compare their bioactivity potential by means of inducing the growth hormone of juvenile Nile tilapia (Oreochromis niloticus) as the model. DNA fragment encoding mature GH protein of giant grouper (El-mGH), giant gouramy (Og-mGH) and common carp (Cc-mGH) was amplified by PCR method. The purified PCR products were ligated to pCold-1 to generate pCold/El-mGH, pCold/OgmGH, and pCold/Cc-mGH protein expression vector, respectively. Each of the expression vectors was transformed into the Escherichia coli BL21. E. coli BL21 was cultured using 2xYT medium and protein production was induced by cold shock at 15±1oC for overnight. The inclusion bodies of E. coli transformants containing protein expression vector were isolated by sonication method, and rGH production was analyzed by SDS-PAGE. Juvenile of Nile tilapia of average body weight of 12.41±3.28 g was intramuscularly injected once a week for 4 weeks with 1 μg inclusion body containing rGH per gram fish body weight. The result showed that rGH in molecular weight of about 25 kDa was obtained. Fish injected with rGH of El-mGH, Cc-mGH and Og-mGH grew 20.94%, 18.09%, and 16.99% faster, respectively, compared with the control. This result indicated that the three rGH produced in E. coli possessed biological activity when tested on Nile tilapia and further research is needed to find its effect on the growth of other aquaculture fish species.","author":[{"dropping-particle":"","family":"Alimuddin","given":"","non-dropping-particle":"","parse-names":false,"suffix":""},{"dropping-particle":"","family":"Lesmana","given":"Indra","non-dropping-particle":"","parse-names":false,"suffix":""},{"dropping-particle":"","family":"Sudrajat","given":"Agus Oman","non-dropping-particle":"","parse-names":false,"suffix":""},{"dropping-particle":"","family":"Carman","given":"Odang","non-dropping-particle":"","parse-names":false,"suffix":""},{"dropping-particle":"","family":"Faizal","given":"Irvan","non-dropping-particle":"","parse-names":false,"suffix":""}],"container-title":"Indonesian Aquaculture Journal","id":"ITEM-1","issue":"1","issued":{"date-parts":[["2010"]]},"page":"11","title":"Production and Bioactivity Potential of Three Recombinant Growth Hormones of Farmed Fish","type":"article-journal","volume":"5"},"uris":["http://www.mendeley.com/documents/?uuid=030f7bcd-a7cd-470a-b327-4aefde020532"]},{"id":"ITEM-2","itemData":{"abstract":"This study was aim to produce the growth hormone recombinant protein (rGH) of giant grouper (Epinephelus lanceolatus), giant gouramy (Osphronemus gouramy), and common carp (Cyprinus carpio) and compare their bioactivity by using of Nile tilapia (Oreochromis niloticus) injecting their product. Fragment DNA encoding mature GH protein of giant grouper (El-mGH), giant gouramy (Og-mGH) and common carp (Cc-mGH) was amplified by PCR method and PCR products were then ligated to pCold 1 to generate pCold/El-mGH, pCold/Og- mGH, and pCold/Cc-mGH protein expression vector, respectively. Each of those expression vectors was transformed into the Escherichia coli BL21. E. coli BL21 was cultured using LB medium and protein production was induced by cold shock at 15±1oC for overnight. The inclusion bodies of E. coli transformants containing protein expression vector were isolated by sonication method, and rGH production was analyzed by SDS-PAGE. Juvenile of Nile tilapia in average body weight of 11±1g was intramuscularly injected once a week for 4 weeks with rGH solution containing of 1 μg inclusion body of bacterial per gram fish body weight. The results showed that rGH in molecular weight of about 25 kDa was obtained. Fish injected with rGH of El-mGH, Cc-mGH and Og-mGH grew 20.94%, 18.09% and 16.99% faster, respectively, compared with control. This result indicated that all rGH produced in E. coli possessed biological activity when tested in Nile tilapia, and it may be useful to improve growth of other aquaculture fish species. Keywords:","author":[{"dropping-particle":"","family":"Lesmana","given":"Indra","non-dropping-particle":"","parse-names":false,"suffix":""}],"id":"ITEM-2","issued":{"date-parts":[["2010"]]},"number-of-pages":"62","publisher":"IPB University","title":"Production and bioactivity of growth hormone recombinant protein from three types of cultured fish","type":"thesis"},"uris":["http://www.mendeley.com/documents/?uuid=59dbdd9e-71a2-4f20-ab64-f3b7ee7f4f20"]}],"mendeley":{"formattedCitation":"(Alimuddin et al., 2010; Lesmana, 2010)","plainTextFormattedCitation":"(Alimuddin et al., 2010; Lesmana, 2010)","previouslyFormattedCitation":"(Alimuddin et al. 2010; Lesmana 2010)"},"properties":{"noteIndex":0},"schema":"https://github.com/citation-style-language/schema/raw/master/csl-citation.json"}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(Alimuddin</w:t>
      </w:r>
      <w:r w:rsidR="00D826C8" w:rsidRPr="00560169">
        <w:rPr>
          <w:rFonts w:ascii="Times New Roman" w:hAnsi="Times New Roman"/>
          <w:i/>
          <w:iCs/>
          <w:noProof/>
          <w:sz w:val="24"/>
          <w:szCs w:val="24"/>
        </w:rPr>
        <w:t xml:space="preserve"> et al</w:t>
      </w:r>
      <w:r w:rsidR="00D826C8" w:rsidRPr="00D826C8">
        <w:rPr>
          <w:rFonts w:ascii="Times New Roman" w:hAnsi="Times New Roman"/>
          <w:noProof/>
          <w:sz w:val="24"/>
          <w:szCs w:val="24"/>
        </w:rPr>
        <w:t>., 2010; Lesmana, 2010)</w:t>
      </w:r>
      <w:r w:rsidRPr="00D826C8">
        <w:rPr>
          <w:rFonts w:ascii="Times New Roman" w:hAnsi="Times New Roman"/>
          <w:sz w:val="24"/>
          <w:szCs w:val="24"/>
        </w:rPr>
        <w:fldChar w:fldCharType="end"/>
      </w:r>
      <w:r w:rsidRPr="00D826C8">
        <w:rPr>
          <w:rFonts w:ascii="Times New Roman" w:hAnsi="Times New Roman"/>
          <w:sz w:val="24"/>
          <w:szCs w:val="24"/>
        </w:rPr>
        <w:t xml:space="preserve">. “Mina Grow” has been widely applied to accelerate fish growth, both consumption fish such as </w:t>
      </w:r>
      <w:proofErr w:type="spellStart"/>
      <w:r w:rsidRPr="00D826C8">
        <w:rPr>
          <w:rFonts w:ascii="Times New Roman" w:hAnsi="Times New Roman"/>
          <w:sz w:val="24"/>
          <w:szCs w:val="24"/>
        </w:rPr>
        <w:t>sangkuriang</w:t>
      </w:r>
      <w:proofErr w:type="spellEnd"/>
      <w:r w:rsidRPr="00D826C8">
        <w:rPr>
          <w:rFonts w:ascii="Times New Roman" w:hAnsi="Times New Roman"/>
          <w:sz w:val="24"/>
          <w:szCs w:val="24"/>
        </w:rPr>
        <w:t xml:space="preserve"> catfish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{"citationItems":[{"id":"ITEM-1","itemData":{"abstract":"The purpose of this study was to assess the effect of seed growth sangkuriang catfish fed with recombinant growth hormone dose 2mg / L through immersion method with different time and assess the optimal time sangkuriang seed catfish fed recombinant growth hormone on growth and seed survival rate catfish sangkuriang. This study was conducted in Unit Freshwater Fish Hatchery Center (SATKER PBIAT) Ngrajek, Magelang, August-November 2013. Research using a completely randomized design (CRD) with 4 treatments and 3 replications. Immersion treatment with recombinant growth hormone solution of 2 mg / L treatment A for 0 min, 30 min treatment B, treatment of C 60 mins, and treatment D 90 minutes. The rGH used from giant grouper fish (rElGH). The observation of SGR treatment of A 5,642±0,025 %/day, treatment of B 6,510±0,055 %/day, treatment of C 6,358±0,108 %/day, treatment of D 6,240±0,179 %/day. The absolute length measurements that showed growth optimum results at A 4,18±0,07 cm, treatment of B 5,35 ± 0,03 cm, treatment of C 5,30 ± 0,09 cm, and treatment of D 5,25 ± 0,23 cm. Feed conversion value in treatment A 0,751±0,008, treatment B 0,457±0,022, treatment C 0,514±0,010, treatment D 0,543±0,008. SR obtained during the maintenance treatment A 82,67±1,53%, treatment B 79,00±3,00% , treatment C 75,33±2,52%, treatment D 73,00±1,00%. Administration of recombinant growth hormone through immersion method at catfish sangkuriang long 30 minutes can increase the growth of a specific weight, length of absolute growth, and survival, as well as lower feed conversion ratio. Administration of recombinant growth hormone can increase by 15.90% SGR, the absolute length of 28%, the survival of 13.25%, and 64.33% lower FCR Keywords:","author":[{"dropping-particle":"","family":"Triwinarso","given":"W. H.","non-dropping-particle":"","parse-names":false,"suffix":""},{"dropping-particle":"","family":"Basuki","given":"F.","non-dropping-particle":"","parse-names":false,"suffix":""},{"dropping-particle":"","family":"Yuniarti","given":"T.","non-dropping-particle":"","parse-names":false,"suffix":""}],"container-title":"Journal of Aquaculture Management and Technology","id":"ITEM-1","issue":"4","issued":{"date-parts":[["2014"]]},"page":"265-272","title":"Effect of Recombinant of Growth Hormone (rGH) through Immersion Method with Different Time on Growth and Survival Catfish Varieties Sangkuriang","type":"article-journal","volume":"3"},"uris":["http://www.mendeley.com/documents/?uuid=cf451260-75af-4d57-b0aa-2ac10e4c286b"]}],"mendeley":{"formattedCitation":"(Triwinarso et al., 2014)","plainTextFormattedCitation":"(Triwinarso et al., 2014)","previouslyFormattedCitation":"(Triwinarso, Basuki, and Yuniarti 2014)"},"properties":{"noteIndex":0},"schema":"https://github.com/citation-style-language/schema/raw/master/csl-citation.json"}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(Triwinarso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2014)</w:t>
      </w:r>
      <w:r w:rsidRPr="00D826C8">
        <w:rPr>
          <w:rFonts w:ascii="Times New Roman" w:hAnsi="Times New Roman"/>
          <w:sz w:val="24"/>
          <w:szCs w:val="24"/>
        </w:rPr>
        <w:fldChar w:fldCharType="end"/>
      </w:r>
      <w:r w:rsidRPr="00D826C8">
        <w:rPr>
          <w:rFonts w:ascii="Times New Roman" w:hAnsi="Times New Roman"/>
          <w:sz w:val="24"/>
          <w:szCs w:val="24"/>
        </w:rPr>
        <w:t xml:space="preserve">, eel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https://doi.org/10.32491/jii.v14i3.79","ISSN":"2579-8634","author":[{"dropping-particle":"","family":"Alimuddin","given":"","non-dropping-particle":"","parse-names":false,"suffix":""},{"dropping-particle":"","family":"Handoyo","given":"Boyun","non-dropping-particle":"","parse-names":false,"suffix":""},{"dropping-particle":"","family":"Utomo","given":"Nur Bambang Priyo","non-dropping-particle":"","parse-names":false,"suffix":""}],"container-title":"Jurnal Iktiologi Indonesia","id":"ITEM-1","issue":"3","issued":{"date-parts":[["2014"]]},"page":"179-189","title":"Effectiveness of recombinant giant grouper (Epinephelus lanceolatus, Bloch 1790) growth hormone through immersion and oral delivery on growth of eel (Anguilla bicolor bicolor)","type":"article-journal","volume":"14"},"uris":["http://www.mendeley.com/documents/?uuid=705e3493-afc9-4bb0-a1dd-b26289dcb92d"]}],"mendeley":{"formattedCitation":"(Alimuddin et al., 2014)","plainTextFormattedCitation":"(Alimuddin et al., 2014)","previouslyFormattedCitation":"(Alimuddin, Handoyo, and Utomo 2014)"},"properties":{"noteIndex":0},"schema":"https://github.com/citation-style-language/schema/raw/master/csl-citation.json"}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(Alimuddin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2014)</w:t>
      </w:r>
      <w:r w:rsidRPr="00D826C8">
        <w:rPr>
          <w:rFonts w:ascii="Times New Roman" w:hAnsi="Times New Roman"/>
          <w:sz w:val="24"/>
          <w:szCs w:val="24"/>
        </w:rPr>
        <w:fldChar w:fldCharType="end"/>
      </w:r>
      <w:r w:rsidRPr="00D826C8">
        <w:rPr>
          <w:rFonts w:ascii="Times New Roman" w:hAnsi="Times New Roman"/>
          <w:sz w:val="24"/>
          <w:szCs w:val="24"/>
        </w:rPr>
        <w:t xml:space="preserve">, </w:t>
      </w:r>
      <w:proofErr w:type="spellStart"/>
      <w:r w:rsidRPr="00D826C8">
        <w:rPr>
          <w:rFonts w:ascii="Times New Roman" w:hAnsi="Times New Roman"/>
          <w:sz w:val="24"/>
          <w:szCs w:val="24"/>
        </w:rPr>
        <w:t>larasati</w:t>
      </w:r>
      <w:proofErr w:type="spellEnd"/>
      <w:r w:rsidRPr="00D826C8">
        <w:rPr>
          <w:rFonts w:ascii="Times New Roman" w:hAnsi="Times New Roman"/>
          <w:sz w:val="24"/>
          <w:szCs w:val="24"/>
        </w:rPr>
        <w:t xml:space="preserve"> tilapia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{"citationItems":[{"id":"ITEM-1","itemData":{"abstract":"Ikan nila memiliki prospek budidaya yang baik, karena peningkatan permintaan, seiring dengan penduduk dunia yang meningkat. Sehubungan dengan hal tersebut perlu diadakannya rekayasa budidaya untuk memenuhi permintaan tersebut. Penelitian ini bertujuan untuk mengetahui pengaruh R ecombinant Growth Hormone (rGH) melalui metode perendaman, dan mengetahui dosis pemberian pemberian rGH yang paling tepat dengan metode perendaman pada larva ikan nila larasati. Penelitian ini dilaksanakan di Balai Perbenihan Budidaya Ikan Air Tawar (BPBIAT) Janti, Klaten, pada 27 September – 29 November 2013. Ikan uji yang digunakan adalah larva ikan nila larasati umur 7 hari setelah habis kuning telur. Penelitian ini menggunakan 4 perlakuan yaitu A 2.5 mg/L, B 2 mg/L, C 1.5 mg/L, D (tanpa rGH), dan 3 ulangan untuk masing-masing perlakuan. Pemeliharaan dilakukan selama 63 hari. Variabel yang diukur meliputi kelulushidupan (SR), pertumbuhan ( panjang mutlak dan SGR bobot), efisiensi pemberian pakan (EPP), dan kualitas air. Nilai kelulushidupan (SR) pada perlakuan A 83.00 ± 2.00, B 83.58 ± 0.58, C 82.67 ± 4.58, dan D 73.67 ± 6.11. Panjang mutlak pada perlakuan A 8.18 ± 0.04, B 7.58 ± 0.11, C 7.42 ± 0.05, D 6.69 ± 0.15. SGR bobot pada perlakuan A 3.32 ± 0.017, B 2.85 ± 0.058, C 2.77 ± 0.010, dan D 2.22 ± 0.098. EPP perlakuan A 1.40 ± 0.11, B 1.25 ± 0.02, C 1.21 ± 0.08, dan D 1.17 ± 0.06 . Dengan demikian , pemberian rGH melalui metode perendaman dengan dosis yang berbeda berpengaruh nyata terhadap pertumbuhan dan EPP larva ikan nila larasati, namun tidak berpengaruh nyata terhadap kelulushidupan. Dosis terbaik untuk meningkatkan pertumbuhan dan nilai EPP yang baik adalah 2.5 mg/L. Tilapia “Larasati” is a fresh water fish which has a good prospect in aquaculture industry. The demand of both in local and international market due to the market of the world population. To fulfill those demand, the improvement of it’s aquaculture engineering. Application of rGH solution in the the tilapia larvae media is one of the method for aquaculture engineering improvement. The purpose of this research was to observe the effect of different dose rGH solution trough dipping method an the larvae media on the survival rate and growth. A first feeding larvae of tilapia were the research experimental animal.This research was conducted in the Central of Freshwater Aquaculture Hatchery (BPBIAT) Janti, Klaten, on 27 September – 29 November 2013. The fish sample used larvae tilapia larasati aged 7 days or …","author":[{"dropping-particle":"","family":"Setyawan","given":"Puguh Karisma Ferry","non-dropping-particle":"","parse-names":false,"suffix":""},{"dropping-particle":"","family":"Rejeki","given":"Sri","non-dropping-particle":"","parse-names":false,"suffix":""},{"dropping-particle":"","family":"Nugroho","given":"Ristiawan Agung","non-dropping-particle":"","parse-names":false,"suffix":""}],"container-title":"Journal of Aquaculture Management and Technology","id":"ITEM-1","issue":"2","issued":{"date-parts":[["2014","4","29"]]},"page":"69-76","title":"The effect of giving recombinant growth hormone (rGH) through immersion methods with different doses on survival and growth of Larasati tilapia larvae (Oreochromis niloticus)","type":"article-journal","volume":"3"},"uris":["http://www.mendeley.com/documents/?uuid=62e1ff69-894b-4d07-8f60-a419515840e3"]}],"mendeley":{"formattedCitation":"(Setyawan et al., 2014)","plainTextFormattedCitation":"(Setyawan et al., 2014)","previouslyFormattedCitation":"(Setyawan, Rejeki, and Nugroho 2014)"},"properties":{"noteIndex":0},"schema":"https://github.com/citation-style-language/schema/raw/master/csl-citation.json"}</w:instrText>
      </w:r>
      <w:r w:rsidRPr="00D826C8">
        <w:rPr>
          <w:rFonts w:ascii="Times New Roman" w:hAnsi="Times New Roman"/>
          <w:sz w:val="24"/>
          <w:szCs w:val="24"/>
        </w:rPr>
        <w:fldChar w:fldCharType="separate"/>
      </w:r>
      <w:r w:rsidR="00D826C8" w:rsidRPr="00560169">
        <w:rPr>
          <w:rFonts w:ascii="Times New Roman" w:hAnsi="Times New Roman"/>
          <w:i/>
          <w:iCs/>
          <w:noProof/>
          <w:sz w:val="24"/>
          <w:szCs w:val="24"/>
        </w:rPr>
        <w:t>(Setyawan et al</w:t>
      </w:r>
      <w:r w:rsidR="00D826C8" w:rsidRPr="00D826C8">
        <w:rPr>
          <w:rFonts w:ascii="Times New Roman" w:hAnsi="Times New Roman"/>
          <w:noProof/>
          <w:sz w:val="24"/>
          <w:szCs w:val="24"/>
        </w:rPr>
        <w:t>., 2014)</w:t>
      </w:r>
      <w:r w:rsidRPr="00D826C8">
        <w:rPr>
          <w:rFonts w:ascii="Times New Roman" w:hAnsi="Times New Roman"/>
          <w:sz w:val="24"/>
          <w:szCs w:val="24"/>
        </w:rPr>
        <w:fldChar w:fldCharType="end"/>
      </w:r>
      <w:r w:rsidRPr="00D826C8">
        <w:rPr>
          <w:rFonts w:ascii="Times New Roman" w:hAnsi="Times New Roman"/>
          <w:sz w:val="24"/>
          <w:szCs w:val="24"/>
        </w:rPr>
        <w:t xml:space="preserve">, </w:t>
      </w:r>
      <w:proofErr w:type="spellStart"/>
      <w:r w:rsidRPr="00D826C8">
        <w:rPr>
          <w:rFonts w:ascii="Times New Roman" w:hAnsi="Times New Roman"/>
          <w:sz w:val="24"/>
          <w:szCs w:val="24"/>
        </w:rPr>
        <w:t>nile</w:t>
      </w:r>
      <w:proofErr w:type="spellEnd"/>
      <w:r w:rsidRPr="00D826C8">
        <w:rPr>
          <w:rFonts w:ascii="Times New Roman" w:hAnsi="Times New Roman"/>
          <w:sz w:val="24"/>
          <w:szCs w:val="24"/>
        </w:rPr>
        <w:t xml:space="preserve"> tilapia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{"citationItems":[{"id":"ITEM-1","itemData":{"DOI":"10.20884/1.oa.2017.13.2.288","ISSN":"1858-3873","abstract":"The aim of the present study was to investigate the growth performance of Nile tilapia immersed in 17α-methyltestosterone (MT) and recombinant giant grouper growth hormone (rElGH), and fed a rElGH-enriched diet. A total of 200 tilapia larvae aged 10 days and 14 days post hatching was immersed in 1 liter of 30 g/L saline water for 3 minutes, then in freshwater containing either MT, MT+rElGH, or rElGH for 4 hours. The MT dose was 2.0 mg/L and rElGH was 2.5 mg/L. As control was treatment without MT and rElGH. Fish were maintained in 250-L aquariums for 6 weeks and then moved to net cages for 8 weeks of rearing. The rElGH-enriched diet was fed to the 6-week-old fish for a month, and then fed a non-enriched diet. Each treatment was triplicates. The result showed that the daily growth rate (DGR), biomass gain (BM), survival (SR) and feed (artemia nauplii) consumption during maintenance in the aquariums in the rElGH and MT+rElGH treatments were higher (P&lt;0.05) than in the control. The higher DGR and BM at net cage rearing and lower feed conversion ratio (P&lt;0.05) were also found in MT and MT+rElGH treatments. None of the treatments showed any difference in survival (P&gt;0.05). Profits estimation in the MT and MT+rElGH treatments were 63.38% and 57.91% higher than the control. The present study concluded that higher Nile tilapia farming performance could be obtanied by MT immersion in the larval phase and feeding juvenile on the rElGH-enriched diet.","author":[{"dropping-particle":"","family":"Safir","given":"Muhammad","non-dropping-particle":"","parse-names":false,"suffix":""},{"dropping-particle":"","family":"Alimuddin","given":"","non-dropping-particle":"","parse-names":false,"suffix":""},{"dropping-particle":"","family":"Setiawati","given":"Mia","non-dropping-particle":"","parse-names":false,"suffix":""},{"dropping-particle":"","family":"Junior","given":"Muhammad Zairin","non-dropping-particle":"","parse-names":false,"suffix":""},{"dropping-particle":"","family":"Suprayudi","given":"Muhammad Agus","non-dropping-particle":"","parse-names":false,"suffix":""}],"container-title":"Omni-Akuatika","id":"ITEM-1","issue":"2","issued":{"date-parts":[["2017"]]},"page":"57-64","title":"Growth Performance of Nile tilapia Immersed in 17α-methyltestosterone and rElGH, and Fed a Diet Enriched with rElGH","type":"article-journal","volume":"13"},"uris":["http://www.mendeley.com/documents/?uuid=dbefec16-f552-49ae-994a-3951fb52becb"]}],"mendeley":{"formattedCitation":"(Safir et al., 2017)","plainTextFormattedCitation":"(Safir et al., 2017)","previouslyFormattedCitation":"(Safir et al. 2017)"},"properties":{"noteIndex":0},"schema":"https://github.com/citation-style-language/schema/raw/master/csl-citation.json"}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(Safir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2017)</w:t>
      </w:r>
      <w:r w:rsidRPr="00D826C8">
        <w:rPr>
          <w:rFonts w:ascii="Times New Roman" w:hAnsi="Times New Roman"/>
          <w:sz w:val="24"/>
          <w:szCs w:val="24"/>
        </w:rPr>
        <w:fldChar w:fldCharType="end"/>
      </w:r>
      <w:r w:rsidRPr="00D826C8">
        <w:rPr>
          <w:rFonts w:ascii="Times New Roman" w:hAnsi="Times New Roman"/>
          <w:sz w:val="24"/>
          <w:szCs w:val="24"/>
        </w:rPr>
        <w:t xml:space="preserve">, as well as ornamental fish such as </w:t>
      </w:r>
      <w:proofErr w:type="spellStart"/>
      <w:r w:rsidRPr="00D826C8">
        <w:rPr>
          <w:rFonts w:ascii="Times New Roman" w:hAnsi="Times New Roman"/>
          <w:sz w:val="24"/>
          <w:szCs w:val="24"/>
        </w:rPr>
        <w:t>botia</w:t>
      </w:r>
      <w:proofErr w:type="spellEnd"/>
      <w:r w:rsidRPr="00D826C8">
        <w:rPr>
          <w:rFonts w:ascii="Times New Roman" w:hAnsi="Times New Roman"/>
          <w:sz w:val="24"/>
          <w:szCs w:val="24"/>
        </w:rPr>
        <w:t xml:space="preserve"> fish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{"citationItems":[{"id":"ITEM-1","itemData":{"DOI":"10.15578/jra.13.2.2018.123-130","ISSN":"1907-6754","abstract":"Pertumbuhan ikan botia tergolong lambat, memerlukan waktu sekitar enam bulan untuk mencapai ukuran komersial (panjang total 4-5 cm). Penelitian ini bertujuan untuk mengevaluasi respons pertumbuhan benih ikan botia yang diberi hormon pertumbuhan ikan kerapu (rElGH) melalui tiga metode yaitu: perendaman, oral, dan kombinasi perendaman dan oral. Penelitian menggunakan rancangan acak lengkap dan setiap perlakuan diulang tiga kali. Dosis rElGH melalui perendaman yaitu 1,2 mg/L diberikan pada larva umur tujuh hari, sedangkan dosis secara oral yaitu 30 mg/kg pakan dan diberikan pada benih umur tiga bulan. Ikan dipelihara dalam akuarium sistem resirkulasi (80 cm x 40 cm x 25 cm) dengan kepadatan 5 ekor/L selama pemeliharaan tiga bulan pertama dan 1 ekor/L selama pemeliharaan periode tiga bulan kedua. Hasil penelitian menunjukkan bahwa perlakuan kombinasi perendaman dan oral memberikan pertumbuhan yang lebih tinggi sebesar 12,04% dibandingkan kontrol. Perlakuan ini juga meningkatkan level ekspresi insulin-like growth factor-1/ IGF-1 sebesar 29,37% dibandingkan kontrol.The growth of Clown Loach is slow. It takes about six months to reach the market size (4-5 cm total body length). This study aimed to evaluate the growth response of Clown Loach treated with recombinant giant grouper growth hormone (rElGH) delivered by three different methods: immersion, oral, and the combination of immersion and oral. A completely randomized design was used as the experimental design and each treatment was replicated three times. The immersion method used rElGH dose of 1.2 mg/L on seven-day-old larvae, while oral treatment used 30 mg rElGH/kg feed on the three-month-old juvenile. The fish were reared in a closed recirculation tank (80 cm x 40 cm x 25 cm) at a density of 5 fish/L for the first three months, and 1 fish/L for the second three months of rearing period. The result showed that the combination of immersion and oral treatments produced a higher growth rate of 12.04% compared to control treatment. Those treatments also increased insulin-like growth factor-1/IGF-1 expression level about 29.37% compared to the control.","author":[{"dropping-particle":"","family":"Permana","given":"Asep","non-dropping-particle":"","parse-names":false,"suffix":""},{"dropping-particle":"","family":"Alimuddin","given":"","non-dropping-particle":"","parse-names":false,"suffix":""},{"dropping-particle":"","family":"Hadie","given":"Wartono","non-dropping-particle":"","parse-names":false,"suffix":""},{"dropping-particle":"","family":"Priyadi","given":"Agus","non-dropping-particle":"","parse-names":false,"suffix":""},{"dropping-particle":"","family":"Ginanjar","given":"Rendy","non-dropping-particle":"","parse-names":false,"suffix":""}],"container-title":"Jurnal Riset Akuakultur","id":"ITEM-1","issue":"2","issued":{"date-parts":[["2018"]]},"page":"123-130","title":"The effects of using recombinant growth hormone on the growth of Clown Loach (Chromobotia macracanthus) juveniles with different methods of administration","type":"article-journal","volume":"13"},"uris":["http://www.mendeley.com/documents/?uuid=9f498e53-680e-4397-adbb-ecbc259a9b31"]}],"mendeley":{"formattedCitation":"(Permana et al., 2018)","plainTextFormattedCitation":"(Permana et al., 2018)","previouslyFormattedCitation":"(Permana et al. 2018)"},"properties":{"noteIndex":0},"schema":"https://github.com/citation-style-language/schema/raw/master/csl-citation.json"}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(Permana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2018)</w:t>
      </w:r>
      <w:r w:rsidRPr="00D826C8">
        <w:rPr>
          <w:rFonts w:ascii="Times New Roman" w:hAnsi="Times New Roman"/>
          <w:sz w:val="24"/>
          <w:szCs w:val="24"/>
        </w:rPr>
        <w:fldChar w:fldCharType="end"/>
      </w:r>
      <w:r w:rsidRPr="00D826C8">
        <w:rPr>
          <w:rFonts w:ascii="Times New Roman" w:hAnsi="Times New Roman"/>
          <w:sz w:val="24"/>
          <w:szCs w:val="24"/>
        </w:rPr>
        <w:t xml:space="preserve">, betta fish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{"citationItems":[{"id":"ITEM-1","itemData":{"DOI":"http://dx.doi.org/10.15578/ma.11.2.2016.87-95","abstract":"The used of recombinant growth hormone (rGH) for wild betta fish could enhance growth performance. The use of rGH of giant grouper fish (rEIGH) is expected to enhance the growth performance of wild betta fish. The aim of this study is to determine the performance of wild betta fish treated with the recombinant protein rGH. The study used immersion and natural feed enrichment method. The rGH intake was implemented by immersion with 1.5 mg/L dosage in five days larvae. Shock salinity at 20 ppt by diping of 90 seconds was conducted before the immersion with 100 mL rGH solution for one hour. The rGH intake was resumed after one week of using a natural food enriched with rGH with the dosages of 0, 0.3, 3, 30 mg/L, and a control for comparison. The treatment was three replications. The natural foods used in this study were nauplius Artemia, Moina, Tubifex, and bloodworm. The best treatment obtained was the combination of rGH enhance by immersion of 1.5 mg/L and oral dose of 3 mg/L. The specific growth rate betta fish was 5.54% and growth weight of 1.033 g or 2.4 times higher than the control (P&lt;0.05). The rGH addition by immersion increased the growth of wild betta fish. Nevertheless, there was be better if it combined with rGH addition through natural feed with the doses ranged from 0.3-3 mg/L.","author":[{"dropping-particle":"","family":"Hayuningtyas","given":"Erma Primanita","non-dropping-particle":"","parse-names":false,"suffix":""},{"dropping-particle":"","family":"Kusrini","given":"Eni","non-dropping-particle":"","parse-names":false,"suffix":""}],"container-title":"Media Akuakultur","id":"ITEM-1","issue":"13","issued":{"date-parts":[["2016"]]},"page":"87-95","title":"Performance of wild betta fish (Betta imbellis) growth treated with recombinant growth hormone (rEIGH) through immersion and natural feed food","type":"article-journal","volume":"11"},"uris":["http://www.mendeley.com/documents/?uuid=1666b924-01b3-4a33-95a1-1ec9b583e088"]}],"mendeley":{"formattedCitation":"(Hayuningtyas &amp; Kusrini, 2016)","plainTextFormattedCitation":"(Hayuningtyas &amp; Kusrini, 2016)","previouslyFormattedCitation":"(Hayuningtyas and Kusrini 2016)"},"properties":{"noteIndex":0},"schema":"https://github.com/citation-style-language/schema/raw/master/csl-citation.json"}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(Hayuningtyas &amp; Kusrini, 2016)</w:t>
      </w:r>
      <w:r w:rsidRPr="00D826C8">
        <w:rPr>
          <w:rFonts w:ascii="Times New Roman" w:hAnsi="Times New Roman"/>
          <w:sz w:val="24"/>
          <w:szCs w:val="24"/>
        </w:rPr>
        <w:fldChar w:fldCharType="end"/>
      </w:r>
      <w:r w:rsidRPr="00D826C8">
        <w:rPr>
          <w:rFonts w:ascii="Times New Roman" w:hAnsi="Times New Roman"/>
          <w:sz w:val="24"/>
          <w:szCs w:val="24"/>
        </w:rPr>
        <w:t xml:space="preserve">, and black ghost fish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{"citationItems":[{"id":"ITEM-1","itemData":{"abstract":"Blackghost is a freshwater ornamental fish that has high economic value. Slow fish growth is a constraint in meeting market demand so need to give recombinant growth hormone (RGH) that can increase the fish growth. This study aims to determine the effect of recombinant growth hormone (RGH) with different concentrations on the growth and survival of black ghost fish larvae. The research was conducted in August-September 2017 in Fisheries Laboratory, Department of Fisheries and Marine, Faculty of Agriculture, University of Lampung. The fish used had an initial length of 0.5 cm and an initial weight of 0.01 g with a 35 day maintenance period in a 15x15x25 cm aquarium size with 8 larvae per aquarium.This research used 4 treatments with 3 replications that blackghost larvae without immersion of rGH (A) and blackghost fish larvae with immersion of rGH (A) of 1 mg / L, 3 mg / L, 5 mg / L (B, C, and D). The results showed that recombinant growth hormone (rGH) in each treatment significantly affected the growth of absolute length and weight, but did not differ significantly to the survival of blackghost fish larvae. In conclusion, recombinant growth hormone (rGH) of 5 mg / L is the best dose for long and heavy growth larvae of black ghost fish because it increases the growth of larvae significantl","author":[{"dropping-particle":"","family":"Sembiring","given":"Anrey Arganta","non-dropping-particle":"","parse-names":false,"suffix":""},{"dropping-particle":"","family":"Tarsim","given":"","non-dropping-particle":"","parse-names":false,"suffix":""},{"dropping-particle":"","family":"Utomo","given":"Deny Sapto C","non-dropping-particle":"","parse-names":false,"suffix":""}],"container-title":"Jurnal Sains Teknologi Akuakultur","id":"ITEM-1","issue":"1","issued":{"date-parts":[["2018"]]},"page":"51-56","title":"The use of recombinant growth hormone (rGH) in stimulating the growth of Black Ghost fish larvae (Apteronotus albifrons)","type":"article-journal","volume":"2"},"uris":["http://www.mendeley.com/documents/?uuid=f1beb44a-61c2-4851-950a-77be3f84c0d5"]}],"mendeley":{"formattedCitation":"(Sembiring et al., 2018)","plainTextFormattedCitation":"(Sembiring et al., 2018)","previouslyFormattedCitation":"(Sembiring, Tarsim, and Utomo 2018)"},"properties":{"noteIndex":0},"schema":"https://github.com/citation-style-language/schema/raw/master/csl-citation.json"}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(Sembiring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2018)</w:t>
      </w:r>
      <w:r w:rsidRPr="00D826C8">
        <w:rPr>
          <w:rFonts w:ascii="Times New Roman" w:hAnsi="Times New Roman"/>
          <w:sz w:val="24"/>
          <w:szCs w:val="24"/>
        </w:rPr>
        <w:fldChar w:fldCharType="end"/>
      </w:r>
      <w:r w:rsidRPr="00D826C8">
        <w:rPr>
          <w:rFonts w:ascii="Times New Roman" w:hAnsi="Times New Roman"/>
          <w:sz w:val="24"/>
          <w:szCs w:val="24"/>
        </w:rPr>
        <w:t>.</w:t>
      </w:r>
    </w:p>
    <w:p w14:paraId="1D6FD89C" w14:textId="6E799054" w:rsidR="00D612CC" w:rsidRPr="00D826C8" w:rsidRDefault="00D612CC" w:rsidP="00990E2D">
      <w:pPr>
        <w:spacing w:line="240" w:lineRule="auto"/>
        <w:ind w:firstLine="709"/>
        <w:jc w:val="both"/>
        <w:rPr>
          <w:rFonts w:ascii="Times New Roman" w:hAnsi="Times New Roman"/>
          <w:sz w:val="24"/>
          <w:szCs w:val="24"/>
        </w:rPr>
      </w:pPr>
      <w:r w:rsidRPr="00D826C8">
        <w:rPr>
          <w:rFonts w:ascii="Times New Roman" w:hAnsi="Times New Roman"/>
          <w:sz w:val="24"/>
          <w:szCs w:val="24"/>
        </w:rPr>
        <w:t xml:space="preserve">Tiger shovelnose catfish </w:t>
      </w:r>
      <w:r w:rsidR="00865AAF" w:rsidRPr="00D826C8">
        <w:rPr>
          <w:rFonts w:ascii="Times New Roman" w:hAnsi="Times New Roman"/>
          <w:sz w:val="24"/>
          <w:szCs w:val="24"/>
        </w:rPr>
        <w:t>(</w:t>
      </w:r>
      <w:proofErr w:type="spellStart"/>
      <w:r w:rsidR="00865AAF" w:rsidRPr="00D826C8">
        <w:rPr>
          <w:rFonts w:ascii="Times New Roman" w:hAnsi="Times New Roman"/>
          <w:i/>
          <w:iCs/>
          <w:sz w:val="24"/>
          <w:szCs w:val="24"/>
        </w:rPr>
        <w:t>Pseudoplatystoma</w:t>
      </w:r>
      <w:proofErr w:type="spellEnd"/>
      <w:r w:rsidR="00865AAF" w:rsidRPr="00D826C8">
        <w:rPr>
          <w:rFonts w:ascii="Times New Roman" w:hAnsi="Times New Roman"/>
          <w:i/>
          <w:iCs/>
          <w:sz w:val="24"/>
          <w:szCs w:val="24"/>
        </w:rPr>
        <w:t xml:space="preserve"> </w:t>
      </w:r>
      <w:proofErr w:type="spellStart"/>
      <w:r w:rsidR="00865AAF" w:rsidRPr="00D826C8">
        <w:rPr>
          <w:rFonts w:ascii="Times New Roman" w:hAnsi="Times New Roman"/>
          <w:i/>
          <w:iCs/>
          <w:sz w:val="24"/>
          <w:szCs w:val="24"/>
        </w:rPr>
        <w:t>fasciatum</w:t>
      </w:r>
      <w:proofErr w:type="spellEnd"/>
      <w:r w:rsidR="00865AAF" w:rsidRPr="00D826C8">
        <w:rPr>
          <w:rFonts w:ascii="Times New Roman" w:hAnsi="Times New Roman"/>
          <w:sz w:val="24"/>
          <w:szCs w:val="24"/>
        </w:rPr>
        <w:t xml:space="preserve"> Linnaeus, 1766). </w:t>
      </w:r>
      <w:r w:rsidRPr="00D826C8">
        <w:rPr>
          <w:rFonts w:ascii="Times New Roman" w:hAnsi="Times New Roman"/>
          <w:sz w:val="24"/>
          <w:szCs w:val="24"/>
        </w:rPr>
        <w:t xml:space="preserve">is one of the introduced fish that has been widely cultivated in Indonesia and is an ornamental fish export commodity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{"citationItems":[{"id":"ITEM-1","itemData":{"DOI":"http://dx.doi.org/10.15578/ma.10.2.2015.79-83","abstract":"Tiger catfish (Pseudoplatystoma fasciatum) is one the introduction of ornamental fish from Latin America and the Amazon River has a high economic value, especially for export commodities. The purpose provide information about the tiger catfish by artificial spawning. The method used for artificial spawning tiger catfish is the hormone gonadotropin stimulation. Brood fish can mature gonads tiger catfish reared in concrete ponds measuring 2.5 x 2.0 x 0.8 M3 with water depths between 50-60 cm is equipped with a circulation system. Comparison between male and female is 1: 2. Average weight ready spawn about 2.5 kg and at least 2 years old. The number of eggs produced 300,000 grains with haching rate 80%. All the eggs will hatch within 15-19 hours at temperatures ranging from 26oC - 30oC. Larvae reared in the aquarium. The success breed of broodstock management. Breeding technique is also a decisive factor for the success of the hatchery. Artificial spawning technologies use the gonadotropin hormone stimulation tiger catfish have been mastered and has grown in the ornamental fish breeders. KEYWORDS: Pseudoplatystoma fasciatum, artificial spawning, hormone stimulated","author":[{"dropping-particle":"","family":"Kusrini","given":"Eni","non-dropping-particle":"","parse-names":false,"suffix":""},{"dropping-particle":"","family":"Priyadi","given":"Agus","non-dropping-particle":"","parse-names":false,"suffix":""},{"dropping-particle":"","family":"Prasetio","given":"Anjang Bangun","non-dropping-particle":"","parse-names":false,"suffix":""}],"container-title":"Media Akuakultur Vol.","id":"ITEM-1","issue":"2","issued":{"date-parts":[["2015"]]},"page":"79-83","title":"Business challenge tiger Catfish (Pseudoplatystoma fasciatum) through controlled spawning technology","type":"article-journal","volume":"29"},"uris":["http://www.mendeley.com/documents/?uuid=76c445e8-361a-4838-9555-9740cb6c9198"]}],"mendeley":{"formattedCitation":"(Kusrini et al., 2015)","plainTextFormattedCitation":"(Kusrini et al., 2015)","previouslyFormattedCitation":"(Kusrini, Priyadi, and Prasetio 2015)"},"properties":{"noteIndex":0},"schema":"https://github.com/citation-style-language/schema/raw/master/csl-citation.json"}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(Kusrini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2015)</w:t>
      </w:r>
      <w:r w:rsidRPr="00D826C8">
        <w:rPr>
          <w:rFonts w:ascii="Times New Roman" w:hAnsi="Times New Roman"/>
          <w:sz w:val="24"/>
          <w:szCs w:val="24"/>
        </w:rPr>
        <w:fldChar w:fldCharType="end"/>
      </w:r>
      <w:r w:rsidRPr="00D826C8">
        <w:rPr>
          <w:rFonts w:ascii="Times New Roman" w:hAnsi="Times New Roman"/>
          <w:sz w:val="24"/>
          <w:szCs w:val="24"/>
        </w:rPr>
        <w:t xml:space="preserve">. Tiger shovelnose catfish have an aggressive and cannibalistic nature and fast growth, especially in the early stages. The growth of Tiger shovelnose catfish can reach a size of 2 m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https://doi.org/10.1111/j.1469-7998.1992.tb04343.x","author":[{"dropping-particle":"","family":"Britz","given":"P","non-dropping-particle":"","parse-names":false,"suffix":""},{"dropping-particle":"","family":"Pienaar","given":"A.","non-dropping-particle":"","parse-names":false,"suffix":""}],"container-title":"Journal of Zoology","id":"ITEM-1","issued":{"date-parts":[["1992"]]},"page":"43-62","title":"Laboratory experiments on the efect of light and cover on the behaviour and growth of African catfish, Clarias gariepinus (Pisces: Clariidae)","type":"article-journal","volume":"227"},"uris":["http://www.mendeley.com/documents/?uuid=0dd74d43-8763-4944-af5c-03b6c2c0c519"]},{"id":"ITEM-2","itemData":{"DOI":"10.1111/j.1365-2109.2007.01762.x","abstract":"During culture of grouper, cannibalism is a frequent phenomenon that usually causes economic loss. Grouper culture often requires grading to prevent size-dependent cannibalism. In comparison with orange-spotted (Epinephelus coioides) and giant grouper (E. lanceolatus), failure to swallow prey during cannibalism is frequently observed in brown-marbled grouper (E. fuscoguttatus). The cannibal cannot engulf the entire prey and the two fish ultimately end up dying together. Herein, we attempted to compare morphometric differences among orange-spotted, giant and brown-marbled grouper. We established a cannibal–prey total length (TL) relationship for brown-marbled grouper: TLprey=0.71 TLcannibal−1.75. According to the equation, a difference of approximately 50% in TL is a threshold to use for grading the grouper. This value is much larger than that used (30%) in orange-spotted and giant grouper, and this size difference results in a higher incidence of failed cannibalism attempts in brown-marbled grouper. It is our belief that the standard grading method will fail to produce as good an effect in brown-marbled grouper as is seen in orange-spotted and giant grouper. Therefore, in addition to grading, other manipulations such as satiation feeding, nutritional supplementation and optimal stocking densities should be applied to reduce cannibalism of brown-marbled grouper.","author":[{"dropping-particle":"","family":"Hseu","given":"Jinn‐Rong","non-dropping-particle":"","parse-names":false,"suffix":""},{"dropping-particle":"","family":"Huang","given":"Wen‐Bin","non-dropping-particle":"","parse-names":false,"suffix":""},{"dropping-particle":"","family":"Chu","given":"Yeong‐Torng","non-dropping-particle":"","parse-names":false,"suffix":""}],"container-title":"Aquaculture Research","id":"ITEM-2","issue":"10","issued":{"date-parts":[["2007"]]},"page":"1056-1060","title":"What causes cannibalization‐associated suffocation in cultured brown‐marbled grouper, Epinephelus fuscoguttatus (Forsskål, 1775)?","type":"article-journal","volume":"38"},"uris":["http://www.mendeley.com/documents/?uuid=12891c7a-41b7-4279-810c-08bfb7d0a1dc"]},{"id":"ITEM-3","itemData":{"DOI":"10.1111/j.1365-2109.2008.01928.x","ISSN":"1355557X","abstract":"Brooders of Surubí (Pseudoplatystoma fasciatum) were caught in the Ichillo River (Bolivian Amazon) and adapted to captivity conditions for 1 year in the facilities of the experimental aquaculture station of 'El Prado' (Santa Cruz de la Sierra) under natural temperature and photoperiod conditions. Induced reproduction was obtained by means of Ovaprim® (Syndel, Canada) injections and artificial fertilization. Sperm and ova were obtained by gentle stripping of male and female brooders. Fertilized eggs were incubated in 60 L Zug jars. A mean hatching rate of 73.7±19.0% was obtained after 24 h at 26.5 °C. For larval rearing, several protocols were tested with different settings of photoperiod, light intensity, food type and period of distribution, and stocking density. The best survival rates were obtained with Artemia nauplii feeding in total darkness. A high level of aggressiveness between larvae and precocious appearance of jumpers was observed, but these can be controlled with appropriate rearing conditions. © 2008 The Authors.","author":[{"dropping-particle":"","family":"Nuñez","given":"Jésus","non-dropping-particle":"","parse-names":false,"suffix":""},{"dropping-particle":"","family":"Dugué","given":"Rémi","non-dropping-particle":"","parse-names":false,"suffix":""},{"dropping-particle":"","family":"Arana","given":"Navil Corcuy","non-dropping-particle":"","parse-names":false,"suffix":""},{"dropping-particle":"","family":"Duponchelle","given":"Fabrice","non-dropping-particle":"","parse-names":false,"suffix":""},{"dropping-particle":"","family":"Renno","given":"Jean François","non-dropping-particle":"","parse-names":false,"suffix":""},{"dropping-particle":"","family":"Raynaud","given":"Thomas","non-dropping-particle":"","parse-names":false,"suffix":""},{"dropping-particle":"","family":"Hubert","given":"Nicolas","non-dropping-particle":"","parse-names":false,"suffix":""},{"dropping-particle":"","family":"Legendre","given":"Marc","non-dropping-particle":"","parse-names":false,"suffix":""}],"container-title":"Aquaculture Research","id":"ITEM-3","issue":"7","issued":{"date-parts":[["2008"]]},"page":"764-776","title":"Induced breeding and larval rearing of Surubí, Pseudoplatystoma fasciatum (Linnaeus, 1766), from the Bolivian Amazon","type":"article-journal","volume":"39"},"uris":["http://www.mendeley.com/documents/?uuid=fb974317-e949-4dc4-9b0b-8ecd2e0a50dc"]}],"mendeley":{"formattedCitation":"(Britz &amp; Pienaar, 1992; Hseu et al., 2007; Nuñez et al., 2008)","plainTextFormattedCitation":"(Britz &amp; Pienaar, 1992; Hseu et al., 2007; Nuñez et al., 2008)","previouslyFormattedCitation":"(Britz and Pienaar 1992; Hseu, Huang, and Chu 2007; Nuñez et al. 2008)"},"properties":{"noteIndex":0},"schema":"https://github.com/citation-style-language/schema/raw/master/csl-citation.json"}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(Britz &amp; Pienaar, 1992; Hseu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xml:space="preserve">., 2007; Nuñez </w:t>
      </w:r>
      <w:r w:rsidR="00D826C8" w:rsidRPr="00560169">
        <w:rPr>
          <w:rFonts w:ascii="Times New Roman" w:hAnsi="Times New Roman"/>
          <w:i/>
          <w:iCs/>
          <w:noProof/>
          <w:sz w:val="24"/>
          <w:szCs w:val="24"/>
        </w:rPr>
        <w:t>et al</w:t>
      </w:r>
      <w:r w:rsidR="00D826C8" w:rsidRPr="00D826C8">
        <w:rPr>
          <w:rFonts w:ascii="Times New Roman" w:hAnsi="Times New Roman"/>
          <w:noProof/>
          <w:sz w:val="24"/>
          <w:szCs w:val="24"/>
        </w:rPr>
        <w:t>., 2008)</w:t>
      </w:r>
      <w:r w:rsidRPr="00D826C8">
        <w:rPr>
          <w:rFonts w:ascii="Times New Roman" w:hAnsi="Times New Roman"/>
          <w:sz w:val="24"/>
          <w:szCs w:val="24"/>
        </w:rPr>
        <w:fldChar w:fldCharType="end"/>
      </w:r>
      <w:r w:rsidRPr="00D826C8">
        <w:rPr>
          <w:rFonts w:ascii="Times New Roman" w:hAnsi="Times New Roman"/>
          <w:sz w:val="24"/>
          <w:szCs w:val="24"/>
        </w:rPr>
        <w:t xml:space="preserve">. This fast-growing potential can be utilized in obtaining growth hormone genes. There is not much information regarding the isolation of the GH gene from ornamental fish, and there is no data on GH sequences from Tiger shovelnose catfish in the NCBI Gene Bank. Therefore, it is necessary to isolate the growth hormone gene in Tiger shovelnose catfish through mRNA isolation. The purpose of this study is to isolate and identify growth hormone (GH) gene mRNA in Tiger shovelnose catfish </w:t>
      </w:r>
      <w:r w:rsidR="00865AAF" w:rsidRPr="00D826C8">
        <w:rPr>
          <w:rFonts w:ascii="Times New Roman" w:hAnsi="Times New Roman"/>
          <w:sz w:val="24"/>
          <w:szCs w:val="24"/>
        </w:rPr>
        <w:t>(</w:t>
      </w:r>
      <w:proofErr w:type="spellStart"/>
      <w:r w:rsidR="00865AAF" w:rsidRPr="00D826C8">
        <w:rPr>
          <w:rFonts w:ascii="Times New Roman" w:hAnsi="Times New Roman"/>
          <w:i/>
          <w:iCs/>
          <w:sz w:val="24"/>
          <w:szCs w:val="24"/>
        </w:rPr>
        <w:t>Pseudoplatystoma</w:t>
      </w:r>
      <w:proofErr w:type="spellEnd"/>
      <w:r w:rsidR="00865AAF" w:rsidRPr="00D826C8">
        <w:rPr>
          <w:rFonts w:ascii="Times New Roman" w:hAnsi="Times New Roman"/>
          <w:i/>
          <w:iCs/>
          <w:sz w:val="24"/>
          <w:szCs w:val="24"/>
        </w:rPr>
        <w:t xml:space="preserve"> </w:t>
      </w:r>
      <w:proofErr w:type="spellStart"/>
      <w:r w:rsidR="00865AAF" w:rsidRPr="00D826C8">
        <w:rPr>
          <w:rFonts w:ascii="Times New Roman" w:hAnsi="Times New Roman"/>
          <w:i/>
          <w:iCs/>
          <w:sz w:val="24"/>
          <w:szCs w:val="24"/>
        </w:rPr>
        <w:t>fasciatum</w:t>
      </w:r>
      <w:proofErr w:type="spellEnd"/>
      <w:r w:rsidR="00865AAF" w:rsidRPr="00D826C8">
        <w:rPr>
          <w:rFonts w:ascii="Times New Roman" w:hAnsi="Times New Roman"/>
          <w:sz w:val="24"/>
          <w:szCs w:val="24"/>
        </w:rPr>
        <w:t xml:space="preserve"> Linnaeus, 1766).</w:t>
      </w:r>
    </w:p>
    <w:p w14:paraId="66D5A6E5" w14:textId="77777777" w:rsidR="00D612CC" w:rsidRPr="00D826C8" w:rsidRDefault="00D612CC" w:rsidP="00990E2D">
      <w:pPr>
        <w:spacing w:line="240" w:lineRule="auto"/>
        <w:contextualSpacing/>
        <w:jc w:val="both"/>
        <w:rPr>
          <w:rFonts w:ascii="Times New Roman" w:hAnsi="Times New Roman"/>
          <w:b/>
          <w:bCs/>
          <w:sz w:val="24"/>
          <w:szCs w:val="24"/>
        </w:rPr>
      </w:pPr>
    </w:p>
    <w:p w14:paraId="2D70914F" w14:textId="1ED608C0" w:rsidR="00D612CC" w:rsidRDefault="00990E2D" w:rsidP="00990E2D">
      <w:pPr>
        <w:spacing w:line="240" w:lineRule="auto"/>
        <w:contextualSpacing/>
        <w:jc w:val="both"/>
        <w:rPr>
          <w:rFonts w:ascii="Times New Roman" w:hAnsi="Times New Roman"/>
          <w:b/>
          <w:bCs/>
          <w:sz w:val="24"/>
          <w:szCs w:val="24"/>
        </w:rPr>
      </w:pPr>
      <w:r>
        <w:rPr>
          <w:rFonts w:ascii="Times New Roman" w:hAnsi="Times New Roman"/>
          <w:b/>
          <w:bCs/>
          <w:sz w:val="24"/>
          <w:szCs w:val="24"/>
        </w:rPr>
        <w:t>MATERIALS AND METHODS</w:t>
      </w:r>
    </w:p>
    <w:p w14:paraId="141A7948" w14:textId="77777777" w:rsidR="00990E2D" w:rsidRPr="00D826C8" w:rsidRDefault="00990E2D" w:rsidP="00990E2D">
      <w:pPr>
        <w:spacing w:line="240" w:lineRule="auto"/>
        <w:contextualSpacing/>
        <w:jc w:val="both"/>
        <w:rPr>
          <w:rFonts w:ascii="Times New Roman" w:hAnsi="Times New Roman"/>
          <w:b/>
          <w:bCs/>
          <w:sz w:val="24"/>
          <w:szCs w:val="24"/>
        </w:rPr>
      </w:pPr>
    </w:p>
    <w:p w14:paraId="52834FAD" w14:textId="5B52EC43" w:rsidR="00D612CC" w:rsidRDefault="00D612CC" w:rsidP="001B3FA5">
      <w:pPr>
        <w:spacing w:after="240" w:line="240" w:lineRule="auto"/>
        <w:ind w:firstLine="709"/>
        <w:contextualSpacing/>
        <w:jc w:val="both"/>
        <w:rPr>
          <w:rFonts w:ascii="Times New Roman" w:hAnsi="Times New Roman"/>
          <w:b/>
          <w:bCs/>
          <w:sz w:val="24"/>
          <w:szCs w:val="24"/>
        </w:rPr>
      </w:pPr>
      <w:r w:rsidRPr="00D826C8">
        <w:rPr>
          <w:rFonts w:ascii="Times New Roman" w:hAnsi="Times New Roman"/>
          <w:b/>
          <w:bCs/>
          <w:sz w:val="24"/>
          <w:szCs w:val="24"/>
        </w:rPr>
        <w:t>Preparation sampling of fi</w:t>
      </w:r>
      <w:r w:rsidR="00990E2D">
        <w:rPr>
          <w:rFonts w:ascii="Times New Roman" w:hAnsi="Times New Roman"/>
          <w:b/>
          <w:bCs/>
          <w:sz w:val="24"/>
          <w:szCs w:val="24"/>
        </w:rPr>
        <w:t>sh</w:t>
      </w:r>
    </w:p>
    <w:p w14:paraId="173E9E4F" w14:textId="77777777" w:rsidR="001B3FA5" w:rsidRPr="00D826C8" w:rsidRDefault="001B3FA5" w:rsidP="001B3FA5">
      <w:pPr>
        <w:spacing w:after="240" w:line="240" w:lineRule="auto"/>
        <w:ind w:firstLine="709"/>
        <w:contextualSpacing/>
        <w:jc w:val="both"/>
        <w:rPr>
          <w:rFonts w:ascii="Times New Roman" w:hAnsi="Times New Roman"/>
          <w:b/>
          <w:bCs/>
          <w:sz w:val="24"/>
          <w:szCs w:val="24"/>
        </w:rPr>
      </w:pPr>
    </w:p>
    <w:p w14:paraId="0B3C93B1" w14:textId="77777777" w:rsidR="004E5134" w:rsidRPr="00D826C8" w:rsidRDefault="00D612CC" w:rsidP="001B3FA5">
      <w:pPr>
        <w:spacing w:after="240" w:line="240" w:lineRule="auto"/>
        <w:ind w:firstLine="785"/>
        <w:jc w:val="both"/>
        <w:rPr>
          <w:rFonts w:ascii="Times New Roman" w:hAnsi="Times New Roman"/>
          <w:sz w:val="24"/>
          <w:szCs w:val="24"/>
        </w:rPr>
      </w:pPr>
      <w:r w:rsidRPr="00D826C8">
        <w:rPr>
          <w:rFonts w:ascii="Times New Roman" w:hAnsi="Times New Roman"/>
          <w:sz w:val="24"/>
          <w:szCs w:val="24"/>
        </w:rPr>
        <w:t xml:space="preserve">The fish used is the Tiger shovelnose catfish, measuring 602 g and a total length of 43 cm. This fish was obtained from the private collection of tiger shovelnose catfish hobbyists traded online. This research was conducted at the Testing Laboratory – Genetics, Research Institute for Ornamental Fish Culture, Depok, West Java, Indonesia. Fish samples were anesthetized with phenoxyethanol and waited until unconscious. Fish were weighed and measured in length, and the fish was dissected on the head to take the pituitary gland. This is located at the bottom of the brain. The pituitary was then weighed and put in an RNA Latter solution to stabilize the condition of the RNA so that it is not easily damaged. The following steps include RNA extraction, cDNA synthesis, RT-PCR amplification performed with the </w:t>
      </w:r>
      <w:r w:rsidRPr="00D826C8">
        <w:rPr>
          <w:rFonts w:ascii="Times New Roman" w:hAnsi="Times New Roman"/>
          <w:sz w:val="24"/>
          <w:szCs w:val="24"/>
        </w:rPr>
        <w:sym w:font="Symbol" w:char="F062"/>
      </w:r>
      <w:r w:rsidRPr="00D826C8">
        <w:rPr>
          <w:rFonts w:ascii="Times New Roman" w:hAnsi="Times New Roman"/>
          <w:sz w:val="24"/>
          <w:szCs w:val="24"/>
        </w:rPr>
        <w:t xml:space="preserve">-actin gene as an internal control (housekeeping gene) and the </w:t>
      </w:r>
      <w:r w:rsidRPr="00D826C8">
        <w:rPr>
          <w:rFonts w:ascii="Times New Roman" w:hAnsi="Times New Roman"/>
          <w:sz w:val="24"/>
          <w:szCs w:val="24"/>
        </w:rPr>
        <w:lastRenderedPageBreak/>
        <w:t>GH gene. The single band of GH gene amplification was cloned at the Genetics Lab, PT. Genetics Science and continued sequencing at the 1</w:t>
      </w:r>
      <w:r w:rsidRPr="00D826C8">
        <w:rPr>
          <w:rFonts w:ascii="Times New Roman" w:hAnsi="Times New Roman"/>
          <w:sz w:val="24"/>
          <w:szCs w:val="24"/>
          <w:vertAlign w:val="superscript"/>
        </w:rPr>
        <w:t>st</w:t>
      </w:r>
      <w:r w:rsidRPr="00D826C8">
        <w:rPr>
          <w:rFonts w:ascii="Times New Roman" w:hAnsi="Times New Roman"/>
          <w:sz w:val="24"/>
          <w:szCs w:val="24"/>
        </w:rPr>
        <w:t xml:space="preserve"> Base Laboratory.</w:t>
      </w:r>
    </w:p>
    <w:p w14:paraId="661B5A73" w14:textId="39E46D29" w:rsidR="00D612CC" w:rsidRPr="00D826C8" w:rsidRDefault="00D612CC" w:rsidP="001B3FA5">
      <w:pPr>
        <w:spacing w:line="240" w:lineRule="auto"/>
        <w:ind w:firstLine="709"/>
        <w:jc w:val="both"/>
        <w:rPr>
          <w:rFonts w:ascii="Times New Roman" w:hAnsi="Times New Roman"/>
          <w:sz w:val="24"/>
          <w:szCs w:val="24"/>
        </w:rPr>
      </w:pPr>
      <w:r w:rsidRPr="00D826C8">
        <w:rPr>
          <w:rFonts w:ascii="Times New Roman" w:hAnsi="Times New Roman"/>
          <w:b/>
          <w:bCs/>
          <w:sz w:val="24"/>
          <w:szCs w:val="24"/>
        </w:rPr>
        <w:t xml:space="preserve">RNA </w:t>
      </w:r>
      <w:r w:rsidR="00CE1795" w:rsidRPr="00D826C8">
        <w:rPr>
          <w:rFonts w:ascii="Times New Roman" w:hAnsi="Times New Roman"/>
          <w:b/>
          <w:bCs/>
          <w:sz w:val="24"/>
          <w:szCs w:val="24"/>
        </w:rPr>
        <w:t>E</w:t>
      </w:r>
      <w:r w:rsidRPr="00D826C8">
        <w:rPr>
          <w:rFonts w:ascii="Times New Roman" w:hAnsi="Times New Roman"/>
          <w:b/>
          <w:bCs/>
          <w:sz w:val="24"/>
          <w:szCs w:val="24"/>
        </w:rPr>
        <w:t>xtraction</w:t>
      </w:r>
    </w:p>
    <w:p w14:paraId="4269E9C9" w14:textId="575652B9" w:rsidR="00D612CC" w:rsidRPr="00D826C8" w:rsidRDefault="00D612CC" w:rsidP="00990E2D">
      <w:pPr>
        <w:spacing w:line="240" w:lineRule="auto"/>
        <w:ind w:left="-76" w:firstLine="785"/>
        <w:jc w:val="both"/>
        <w:rPr>
          <w:rFonts w:ascii="Times New Roman" w:hAnsi="Times New Roman"/>
          <w:sz w:val="24"/>
          <w:szCs w:val="24"/>
        </w:rPr>
      </w:pPr>
      <w:r w:rsidRPr="00D826C8">
        <w:rPr>
          <w:rFonts w:ascii="Times New Roman" w:hAnsi="Times New Roman"/>
          <w:sz w:val="24"/>
          <w:szCs w:val="24"/>
        </w:rPr>
        <w:t xml:space="preserve">RNA extraction was carried out using the Tri Reagent (MRC) RNA isolation kit. Pituitary tissue was put in 100 </w:t>
      </w:r>
      <w:r w:rsidRPr="00D826C8">
        <w:rPr>
          <w:rFonts w:ascii="Times New Roman" w:hAnsi="Times New Roman"/>
          <w:sz w:val="24"/>
          <w:szCs w:val="24"/>
        </w:rPr>
        <w:sym w:font="Symbol" w:char="F06D"/>
      </w:r>
      <w:r w:rsidRPr="00D826C8">
        <w:rPr>
          <w:rFonts w:ascii="Times New Roman" w:hAnsi="Times New Roman"/>
          <w:sz w:val="24"/>
          <w:szCs w:val="24"/>
        </w:rPr>
        <w:t xml:space="preserve">L of Tri Reagent solution, and ground until smooth using a pestle. After being crushed, 900 </w:t>
      </w:r>
      <w:r w:rsidRPr="00D826C8">
        <w:rPr>
          <w:rFonts w:ascii="Times New Roman" w:hAnsi="Times New Roman"/>
          <w:sz w:val="24"/>
          <w:szCs w:val="24"/>
        </w:rPr>
        <w:sym w:font="Symbol" w:char="F06D"/>
      </w:r>
      <w:r w:rsidRPr="00D826C8">
        <w:rPr>
          <w:rFonts w:ascii="Times New Roman" w:hAnsi="Times New Roman"/>
          <w:sz w:val="24"/>
          <w:szCs w:val="24"/>
        </w:rPr>
        <w:t xml:space="preserve">L of Tri Reagent solution was added and mixed by vortex. Samples were incubated for 5 minutes at room temperature. </w:t>
      </w:r>
      <w:r w:rsidR="004E5134" w:rsidRPr="00D826C8">
        <w:rPr>
          <w:rFonts w:ascii="Times New Roman" w:hAnsi="Times New Roman"/>
          <w:sz w:val="24"/>
          <w:szCs w:val="24"/>
        </w:rPr>
        <w:t xml:space="preserve">Chloroform was added </w:t>
      </w:r>
      <w:r w:rsidRPr="00D826C8">
        <w:rPr>
          <w:rFonts w:ascii="Times New Roman" w:hAnsi="Times New Roman"/>
          <w:sz w:val="24"/>
          <w:szCs w:val="24"/>
        </w:rPr>
        <w:t xml:space="preserve">200 </w:t>
      </w:r>
      <w:r w:rsidRPr="00D826C8">
        <w:rPr>
          <w:rFonts w:ascii="Times New Roman" w:hAnsi="Times New Roman"/>
          <w:sz w:val="24"/>
          <w:szCs w:val="24"/>
        </w:rPr>
        <w:sym w:font="Symbol" w:char="F06D"/>
      </w:r>
      <w:r w:rsidRPr="00D826C8">
        <w:rPr>
          <w:rFonts w:ascii="Times New Roman" w:hAnsi="Times New Roman"/>
          <w:sz w:val="24"/>
          <w:szCs w:val="24"/>
        </w:rPr>
        <w:t>L</w:t>
      </w:r>
      <w:r w:rsidR="004E5134" w:rsidRPr="00D826C8">
        <w:rPr>
          <w:rFonts w:ascii="Times New Roman" w:hAnsi="Times New Roman"/>
          <w:sz w:val="24"/>
          <w:szCs w:val="24"/>
        </w:rPr>
        <w:t xml:space="preserve">, </w:t>
      </w:r>
      <w:r w:rsidRPr="00D826C8">
        <w:rPr>
          <w:rFonts w:ascii="Times New Roman" w:hAnsi="Times New Roman"/>
          <w:sz w:val="24"/>
          <w:szCs w:val="24"/>
        </w:rPr>
        <w:t xml:space="preserve">then vortexed and incubated for 2-15 min at room temperature. Samples were centrifuged at 12000 </w:t>
      </w:r>
      <w:proofErr w:type="spellStart"/>
      <w:r w:rsidRPr="00D826C8">
        <w:rPr>
          <w:rFonts w:ascii="Times New Roman" w:hAnsi="Times New Roman"/>
          <w:sz w:val="24"/>
          <w:szCs w:val="24"/>
        </w:rPr>
        <w:t>rcf</w:t>
      </w:r>
      <w:proofErr w:type="spellEnd"/>
      <w:r w:rsidRPr="00D826C8">
        <w:rPr>
          <w:rFonts w:ascii="Times New Roman" w:hAnsi="Times New Roman"/>
          <w:sz w:val="24"/>
          <w:szCs w:val="24"/>
        </w:rPr>
        <w:t xml:space="preserve"> for 15 min. The supernatant was transferred to a new microtube and added with 500 </w:t>
      </w:r>
      <w:r w:rsidRPr="00D826C8">
        <w:rPr>
          <w:rFonts w:ascii="Times New Roman" w:hAnsi="Times New Roman"/>
          <w:sz w:val="24"/>
          <w:szCs w:val="24"/>
        </w:rPr>
        <w:sym w:font="Symbol" w:char="F06D"/>
      </w:r>
      <w:r w:rsidRPr="00D826C8">
        <w:rPr>
          <w:rFonts w:ascii="Times New Roman" w:hAnsi="Times New Roman"/>
          <w:sz w:val="24"/>
          <w:szCs w:val="24"/>
        </w:rPr>
        <w:t xml:space="preserve">L of isopropanol.  Inverted the microtube and incubated for 5-10 minutes at room temperature. The sample was centrifuged again at a speed of 12000 </w:t>
      </w:r>
      <w:proofErr w:type="spellStart"/>
      <w:r w:rsidRPr="00D826C8">
        <w:rPr>
          <w:rFonts w:ascii="Times New Roman" w:hAnsi="Times New Roman"/>
          <w:sz w:val="24"/>
          <w:szCs w:val="24"/>
        </w:rPr>
        <w:t>rcf</w:t>
      </w:r>
      <w:proofErr w:type="spellEnd"/>
      <w:r w:rsidRPr="00D826C8">
        <w:rPr>
          <w:rFonts w:ascii="Times New Roman" w:hAnsi="Times New Roman"/>
          <w:sz w:val="24"/>
          <w:szCs w:val="24"/>
        </w:rPr>
        <w:t xml:space="preserve"> for 4 min, after which a white pellet will appear. The supernatant solution was discarded, and 1 mL of 75</w:t>
      </w:r>
      <w:r w:rsidR="00C26768" w:rsidRPr="00D826C8">
        <w:rPr>
          <w:rFonts w:ascii="Times New Roman" w:hAnsi="Times New Roman"/>
          <w:sz w:val="24"/>
          <w:szCs w:val="24"/>
        </w:rPr>
        <w:t xml:space="preserve"> </w:t>
      </w:r>
      <w:r w:rsidRPr="00D826C8">
        <w:rPr>
          <w:rFonts w:ascii="Times New Roman" w:hAnsi="Times New Roman"/>
          <w:sz w:val="24"/>
          <w:szCs w:val="24"/>
        </w:rPr>
        <w:t xml:space="preserve">% ethanol was added, slowly inverted. The sample was centrifuged at a speed of 7500 </w:t>
      </w:r>
      <w:proofErr w:type="spellStart"/>
      <w:r w:rsidRPr="00D826C8">
        <w:rPr>
          <w:rFonts w:ascii="Times New Roman" w:hAnsi="Times New Roman"/>
          <w:sz w:val="24"/>
          <w:szCs w:val="24"/>
        </w:rPr>
        <w:t>rcf</w:t>
      </w:r>
      <w:proofErr w:type="spellEnd"/>
      <w:r w:rsidRPr="00D826C8">
        <w:rPr>
          <w:rFonts w:ascii="Times New Roman" w:hAnsi="Times New Roman"/>
          <w:sz w:val="24"/>
          <w:szCs w:val="24"/>
        </w:rPr>
        <w:t xml:space="preserve"> for 5 min. The supernatant was discarded, and the microtubes were air-dried for 3-5 min. </w:t>
      </w:r>
      <w:r w:rsidR="004E5134" w:rsidRPr="00D826C8">
        <w:rPr>
          <w:rFonts w:ascii="Times New Roman" w:hAnsi="Times New Roman"/>
          <w:sz w:val="24"/>
          <w:szCs w:val="24"/>
        </w:rPr>
        <w:t xml:space="preserve">Nuclease Free Water was added </w:t>
      </w:r>
      <w:r w:rsidRPr="00D826C8">
        <w:rPr>
          <w:rFonts w:ascii="Times New Roman" w:hAnsi="Times New Roman"/>
          <w:sz w:val="24"/>
          <w:szCs w:val="24"/>
        </w:rPr>
        <w:t xml:space="preserve">50 </w:t>
      </w:r>
      <w:r w:rsidRPr="00D826C8">
        <w:rPr>
          <w:rFonts w:ascii="Times New Roman" w:hAnsi="Times New Roman"/>
          <w:sz w:val="24"/>
          <w:szCs w:val="24"/>
        </w:rPr>
        <w:sym w:font="Symbol" w:char="F06D"/>
      </w:r>
      <w:r w:rsidRPr="00D826C8">
        <w:rPr>
          <w:rFonts w:ascii="Times New Roman" w:hAnsi="Times New Roman"/>
          <w:sz w:val="24"/>
          <w:szCs w:val="24"/>
        </w:rPr>
        <w:t>L and vortexed. Total RNA concentration to be calculated using a UV-Vis spectrophotometer (Gene-Quant, GE). After measuring, the sample can be stored at -80</w:t>
      </w:r>
      <w:r w:rsidR="00C26768" w:rsidRPr="00D826C8">
        <w:rPr>
          <w:rFonts w:ascii="Times New Roman" w:hAnsi="Times New Roman"/>
          <w:sz w:val="24"/>
          <w:szCs w:val="24"/>
        </w:rPr>
        <w:t xml:space="preserve"> </w:t>
      </w:r>
      <w:r w:rsidRPr="00D826C8">
        <w:rPr>
          <w:rFonts w:ascii="Times New Roman" w:hAnsi="Times New Roman"/>
          <w:sz w:val="24"/>
          <w:szCs w:val="24"/>
        </w:rPr>
        <w:t>°C.</w:t>
      </w:r>
    </w:p>
    <w:p w14:paraId="743A8F18" w14:textId="6F1D0FED" w:rsidR="00D612CC" w:rsidRPr="00D826C8" w:rsidRDefault="00D612CC" w:rsidP="001B3FA5">
      <w:pPr>
        <w:spacing w:line="240" w:lineRule="auto"/>
        <w:ind w:firstLine="709"/>
        <w:jc w:val="both"/>
        <w:rPr>
          <w:rFonts w:ascii="Times New Roman" w:hAnsi="Times New Roman"/>
          <w:b/>
          <w:bCs/>
          <w:sz w:val="24"/>
          <w:szCs w:val="24"/>
        </w:rPr>
      </w:pPr>
      <w:r w:rsidRPr="00D826C8">
        <w:rPr>
          <w:rFonts w:ascii="Times New Roman" w:hAnsi="Times New Roman"/>
          <w:b/>
          <w:bCs/>
          <w:sz w:val="24"/>
          <w:szCs w:val="24"/>
        </w:rPr>
        <w:t>cDNA synthesis</w:t>
      </w:r>
    </w:p>
    <w:p w14:paraId="05908C13" w14:textId="6B7F77EC" w:rsidR="00D612CC" w:rsidRPr="00D826C8" w:rsidRDefault="00D612CC" w:rsidP="00990E2D">
      <w:pPr>
        <w:spacing w:line="240" w:lineRule="auto"/>
        <w:ind w:left="-76" w:firstLine="785"/>
        <w:jc w:val="both"/>
        <w:rPr>
          <w:rFonts w:ascii="Times New Roman" w:hAnsi="Times New Roman"/>
          <w:sz w:val="24"/>
          <w:szCs w:val="24"/>
        </w:rPr>
      </w:pPr>
      <w:r w:rsidRPr="00D826C8">
        <w:rPr>
          <w:rFonts w:ascii="Times New Roman" w:hAnsi="Times New Roman"/>
          <w:sz w:val="24"/>
          <w:szCs w:val="24"/>
        </w:rPr>
        <w:t>cDNA was synthesized using the NZY First-Strand cDNA Synthesis Kit (</w:t>
      </w:r>
      <w:proofErr w:type="spellStart"/>
      <w:r w:rsidRPr="00D826C8">
        <w:rPr>
          <w:rFonts w:ascii="Times New Roman" w:hAnsi="Times New Roman"/>
          <w:sz w:val="24"/>
          <w:szCs w:val="24"/>
        </w:rPr>
        <w:t>Nzytech</w:t>
      </w:r>
      <w:proofErr w:type="spellEnd"/>
      <w:r w:rsidRPr="00D826C8">
        <w:rPr>
          <w:rFonts w:ascii="Times New Roman" w:hAnsi="Times New Roman"/>
          <w:sz w:val="24"/>
          <w:szCs w:val="24"/>
        </w:rPr>
        <w:t>). The premix composition for cDNA synthesis includes NZYRT 2x Master mix 10</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L, NZYRT Enzyme Mix 2</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 xml:space="preserve">L, Total RNA concentration of 1 </w:t>
      </w:r>
      <w:proofErr w:type="spellStart"/>
      <w:proofErr w:type="gramStart"/>
      <w:r w:rsidRPr="00D826C8">
        <w:rPr>
          <w:rFonts w:ascii="Times New Roman" w:hAnsi="Times New Roman"/>
          <w:sz w:val="24"/>
          <w:szCs w:val="24"/>
        </w:rPr>
        <w:t>ng</w:t>
      </w:r>
      <w:r w:rsidR="007F6E87" w:rsidRPr="00D826C8">
        <w:rPr>
          <w:rFonts w:ascii="Times New Roman" w:hAnsi="Times New Roman"/>
          <w:sz w:val="24"/>
          <w:szCs w:val="24"/>
        </w:rPr>
        <w:t>.</w:t>
      </w:r>
      <w:r w:rsidRPr="00D826C8">
        <w:rPr>
          <w:rFonts w:ascii="Times New Roman" w:hAnsi="Times New Roman"/>
          <w:sz w:val="24"/>
          <w:szCs w:val="24"/>
        </w:rPr>
        <w:t>µ</w:t>
      </w:r>
      <w:proofErr w:type="gramEnd"/>
      <w:r w:rsidRPr="00D826C8">
        <w:rPr>
          <w:rFonts w:ascii="Times New Roman" w:hAnsi="Times New Roman"/>
          <w:sz w:val="24"/>
          <w:szCs w:val="24"/>
        </w:rPr>
        <w:t>L</w:t>
      </w:r>
      <w:proofErr w:type="spellEnd"/>
      <w:r w:rsidRPr="00D826C8">
        <w:rPr>
          <w:rFonts w:ascii="Times New Roman" w:hAnsi="Times New Roman"/>
          <w:sz w:val="24"/>
          <w:szCs w:val="24"/>
        </w:rPr>
        <w:t>, and DEPC – treated H2O up to a total volume of 20</w:t>
      </w:r>
      <w:r w:rsidR="00C26768" w:rsidRPr="00D826C8">
        <w:rPr>
          <w:rFonts w:ascii="Times New Roman" w:hAnsi="Times New Roman"/>
          <w:sz w:val="24"/>
          <w:szCs w:val="24"/>
        </w:rPr>
        <w:t xml:space="preserve"> </w:t>
      </w:r>
      <w:r w:rsidRPr="00D826C8">
        <w:rPr>
          <w:rFonts w:ascii="Times New Roman" w:hAnsi="Times New Roman"/>
          <w:sz w:val="24"/>
          <w:szCs w:val="24"/>
        </w:rPr>
        <w:t>µL. The mixed premix solution was then incubated at 25</w:t>
      </w:r>
      <w:r w:rsidR="00A910FC" w:rsidRPr="00D826C8">
        <w:rPr>
          <w:rFonts w:ascii="Times New Roman" w:hAnsi="Times New Roman"/>
          <w:sz w:val="24"/>
          <w:szCs w:val="24"/>
        </w:rPr>
        <w:t xml:space="preserve"> </w:t>
      </w:r>
      <w:r w:rsidRPr="00D826C8">
        <w:rPr>
          <w:rFonts w:ascii="Times New Roman" w:hAnsi="Times New Roman"/>
          <w:sz w:val="24"/>
          <w:szCs w:val="24"/>
        </w:rPr>
        <w:t>°C for 10 min. The samples were incubated again at 50</w:t>
      </w:r>
      <w:r w:rsidR="00A910FC"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min. Subsequently, the reaction was inactivated by heating at 85</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5 min. 1</w:t>
      </w:r>
      <w:r w:rsidR="00A910FC"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 xml:space="preserve">L of NZY RNase </w:t>
      </w:r>
      <w:r w:rsidRPr="00D826C8">
        <w:rPr>
          <w:rFonts w:ascii="Times New Roman" w:hAnsi="Times New Roman"/>
          <w:i/>
          <w:iCs/>
          <w:sz w:val="24"/>
          <w:szCs w:val="24"/>
        </w:rPr>
        <w:t>E. coli</w:t>
      </w:r>
      <w:r w:rsidRPr="00D826C8">
        <w:rPr>
          <w:rFonts w:ascii="Times New Roman" w:hAnsi="Times New Roman"/>
          <w:sz w:val="24"/>
          <w:szCs w:val="24"/>
        </w:rPr>
        <w:t xml:space="preserve"> was added and was incubated at 37</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20 min. After the cDNA was obtained, it can be directly used for the PCR step or stored in the refrigerator at -20</w:t>
      </w:r>
      <w:r w:rsidR="00A910FC"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w:t>
      </w:r>
    </w:p>
    <w:p w14:paraId="155A6E3A" w14:textId="12D50F7B" w:rsidR="00D612CC" w:rsidRPr="00D826C8" w:rsidRDefault="00D612CC" w:rsidP="001B3FA5">
      <w:pPr>
        <w:spacing w:line="240" w:lineRule="auto"/>
        <w:ind w:firstLine="709"/>
        <w:jc w:val="both"/>
        <w:rPr>
          <w:rFonts w:ascii="Times New Roman" w:hAnsi="Times New Roman"/>
          <w:b/>
          <w:bCs/>
          <w:sz w:val="24"/>
          <w:szCs w:val="24"/>
        </w:rPr>
      </w:pPr>
      <w:r w:rsidRPr="00D826C8">
        <w:rPr>
          <w:rFonts w:ascii="Times New Roman" w:hAnsi="Times New Roman"/>
          <w:b/>
          <w:bCs/>
          <w:sz w:val="24"/>
          <w:szCs w:val="24"/>
        </w:rPr>
        <w:t xml:space="preserve">Detection of </w:t>
      </w:r>
      <w:r w:rsidRPr="00D826C8">
        <w:rPr>
          <w:rFonts w:ascii="Times New Roman" w:hAnsi="Times New Roman"/>
          <w:b/>
          <w:bCs/>
          <w:sz w:val="24"/>
          <w:szCs w:val="24"/>
        </w:rPr>
        <w:sym w:font="Symbol" w:char="F062"/>
      </w:r>
      <w:r w:rsidRPr="00D826C8">
        <w:rPr>
          <w:rFonts w:ascii="Times New Roman" w:hAnsi="Times New Roman"/>
          <w:b/>
          <w:bCs/>
          <w:sz w:val="24"/>
          <w:szCs w:val="24"/>
        </w:rPr>
        <w:t>-actin gene</w:t>
      </w:r>
    </w:p>
    <w:p w14:paraId="494358D3" w14:textId="49908302"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 xml:space="preserve">Detection of the </w:t>
      </w:r>
      <w:bookmarkStart w:id="5" w:name="_Hlk86951855"/>
      <w:r w:rsidRPr="00D826C8">
        <w:rPr>
          <w:rFonts w:ascii="Times New Roman" w:hAnsi="Times New Roman"/>
          <w:sz w:val="24"/>
          <w:szCs w:val="24"/>
        </w:rPr>
        <w:sym w:font="Symbol" w:char="F062"/>
      </w:r>
      <w:bookmarkEnd w:id="5"/>
      <w:r w:rsidRPr="00D826C8">
        <w:rPr>
          <w:rFonts w:ascii="Times New Roman" w:hAnsi="Times New Roman"/>
          <w:sz w:val="24"/>
          <w:szCs w:val="24"/>
        </w:rPr>
        <w:t>-actin gene as a housekeeping gene was done through the PCR method. This uses the</w:t>
      </w:r>
      <w:hyperlink r:id="rId8" w:history="1"/>
      <w:r w:rsidRPr="00D826C8">
        <w:rPr>
          <w:rFonts w:ascii="Times New Roman" w:hAnsi="Times New Roman"/>
          <w:sz w:val="24"/>
          <w:szCs w:val="24"/>
        </w:rPr>
        <w:t xml:space="preserve"> </w:t>
      </w:r>
      <w:bookmarkStart w:id="6" w:name="_Hlk87233396"/>
      <w:proofErr w:type="spellStart"/>
      <w:r w:rsidRPr="00D826C8">
        <w:rPr>
          <w:rFonts w:ascii="Times New Roman" w:hAnsi="Times New Roman"/>
          <w:sz w:val="24"/>
          <w:szCs w:val="24"/>
        </w:rPr>
        <w:t>DreamTaq</w:t>
      </w:r>
      <w:proofErr w:type="spellEnd"/>
      <w:r w:rsidRPr="00D826C8">
        <w:rPr>
          <w:rFonts w:ascii="Times New Roman" w:hAnsi="Times New Roman"/>
          <w:sz w:val="24"/>
          <w:szCs w:val="24"/>
        </w:rPr>
        <w:t xml:space="preserve"> Master Green PCR Master Mix (2x) Kit (</w:t>
      </w:r>
      <w:proofErr w:type="spellStart"/>
      <w:r w:rsidRPr="00D826C8">
        <w:rPr>
          <w:rFonts w:ascii="Times New Roman" w:hAnsi="Times New Roman"/>
          <w:sz w:val="24"/>
          <w:szCs w:val="24"/>
        </w:rPr>
        <w:t>Thermo</w:t>
      </w:r>
      <w:proofErr w:type="spellEnd"/>
      <w:r w:rsidRPr="00D826C8">
        <w:rPr>
          <w:rFonts w:ascii="Times New Roman" w:hAnsi="Times New Roman"/>
          <w:sz w:val="24"/>
          <w:szCs w:val="24"/>
        </w:rPr>
        <w:t xml:space="preserve"> Scientific). </w:t>
      </w:r>
      <w:bookmarkEnd w:id="6"/>
      <w:r w:rsidRPr="00D826C8">
        <w:rPr>
          <w:rFonts w:ascii="Times New Roman" w:hAnsi="Times New Roman"/>
          <w:sz w:val="24"/>
          <w:szCs w:val="24"/>
        </w:rPr>
        <w:t>Reaction composition consists of 12.5</w:t>
      </w:r>
      <w:r w:rsidR="00A910FC"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L master mix, 1</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 xml:space="preserve">L universal </w:t>
      </w:r>
      <w:r w:rsidRPr="00D826C8">
        <w:rPr>
          <w:rFonts w:ascii="Times New Roman" w:hAnsi="Times New Roman"/>
          <w:sz w:val="24"/>
          <w:szCs w:val="24"/>
        </w:rPr>
        <w:sym w:font="Symbol" w:char="F062"/>
      </w:r>
      <w:r w:rsidRPr="00D826C8">
        <w:rPr>
          <w:rFonts w:ascii="Times New Roman" w:hAnsi="Times New Roman"/>
          <w:sz w:val="24"/>
          <w:szCs w:val="24"/>
        </w:rPr>
        <w:t>-actin primer F (5'- GGT CGA GCT GGA CGG CGA CG –'3), 1</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 xml:space="preserve">L universal </w:t>
      </w:r>
      <w:r w:rsidRPr="00D826C8">
        <w:rPr>
          <w:rFonts w:ascii="Times New Roman" w:hAnsi="Times New Roman"/>
          <w:sz w:val="24"/>
          <w:szCs w:val="24"/>
        </w:rPr>
        <w:sym w:font="Symbol" w:char="F062"/>
      </w:r>
      <w:r w:rsidRPr="00D826C8">
        <w:rPr>
          <w:rFonts w:ascii="Times New Roman" w:hAnsi="Times New Roman"/>
          <w:sz w:val="24"/>
          <w:szCs w:val="24"/>
        </w:rPr>
        <w:t>- primer R (5'- ACG AAC TCC AGC AGG ACC AT –'3) each primer with a concentration of 10</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72"/>
      </w:r>
      <w:r w:rsidRPr="00D826C8">
        <w:rPr>
          <w:rFonts w:ascii="Times New Roman" w:hAnsi="Times New Roman"/>
          <w:sz w:val="24"/>
          <w:szCs w:val="24"/>
        </w:rPr>
        <w:t>mol, 1</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L cDNA, and nuclease-free water up to a volume of 25</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6D"/>
      </w:r>
      <w:r w:rsidRPr="00D826C8">
        <w:rPr>
          <w:rFonts w:ascii="Times New Roman" w:hAnsi="Times New Roman"/>
          <w:sz w:val="24"/>
          <w:szCs w:val="24"/>
        </w:rPr>
        <w:t>L. The conditions of PCR amplification</w:t>
      </w:r>
      <w:r w:rsidR="00B17142">
        <w:rPr>
          <w:rFonts w:ascii="Times New Roman" w:hAnsi="Times New Roman"/>
          <w:sz w:val="24"/>
          <w:szCs w:val="24"/>
        </w:rPr>
        <w:t xml:space="preserve"> </w:t>
      </w:r>
      <w:r w:rsidRPr="00D826C8">
        <w:rPr>
          <w:rFonts w:ascii="Times New Roman" w:hAnsi="Times New Roman"/>
          <w:sz w:val="24"/>
          <w:szCs w:val="24"/>
        </w:rPr>
        <w:t>include consisting of initial denaturation temperature of 94</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 min, denaturation temperature of 94</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sec, the annealing temperature of 58</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sec, and extension temperature of 72</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sec. This cycle was repeated 35 times, was terminated with a final extension at 72</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 min and final conditioning at 4</w:t>
      </w:r>
      <w:r w:rsidR="00C2676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PCR samples can be stored in a refrigerator or directly electrophoresed on the agarose gel. The target gene resulting from the amplification was 300</w:t>
      </w:r>
      <w:r w:rsidR="00C26768" w:rsidRPr="00D826C8">
        <w:rPr>
          <w:rFonts w:ascii="Times New Roman" w:hAnsi="Times New Roman"/>
          <w:sz w:val="24"/>
          <w:szCs w:val="24"/>
        </w:rPr>
        <w:t xml:space="preserve"> </w:t>
      </w:r>
      <w:r w:rsidRPr="00D826C8">
        <w:rPr>
          <w:rFonts w:ascii="Times New Roman" w:hAnsi="Times New Roman"/>
          <w:sz w:val="24"/>
          <w:szCs w:val="24"/>
        </w:rPr>
        <w:t>bp DNA fragment.</w:t>
      </w:r>
    </w:p>
    <w:p w14:paraId="77B07D4F" w14:textId="77777777" w:rsidR="00D612CC" w:rsidRPr="00D826C8" w:rsidRDefault="00D612CC" w:rsidP="001B3FA5">
      <w:pPr>
        <w:spacing w:line="240" w:lineRule="auto"/>
        <w:ind w:firstLine="720"/>
        <w:jc w:val="both"/>
        <w:rPr>
          <w:rFonts w:ascii="Times New Roman" w:hAnsi="Times New Roman"/>
          <w:b/>
          <w:bCs/>
          <w:sz w:val="24"/>
          <w:szCs w:val="24"/>
        </w:rPr>
      </w:pPr>
      <w:r w:rsidRPr="00D826C8">
        <w:rPr>
          <w:rFonts w:ascii="Times New Roman" w:hAnsi="Times New Roman"/>
          <w:b/>
          <w:bCs/>
          <w:sz w:val="24"/>
          <w:szCs w:val="24"/>
        </w:rPr>
        <w:lastRenderedPageBreak/>
        <w:t>Primer Design, TM Optimization, Primer Selection and Detection of GH Genes</w:t>
      </w:r>
    </w:p>
    <w:p w14:paraId="48C42BAC" w14:textId="6A63BE89"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 xml:space="preserve">The degenerate primer was designed based on seven sequence data in the Gene Bank (NCBI). The primer was designed from 5 GH catfish gene species, namely, </w:t>
      </w:r>
      <w:bookmarkStart w:id="7" w:name="_Hlk97035525"/>
      <w:proofErr w:type="spellStart"/>
      <w:r w:rsidRPr="00D826C8">
        <w:rPr>
          <w:rFonts w:ascii="Times New Roman" w:hAnsi="Times New Roman"/>
          <w:i/>
          <w:iCs/>
          <w:sz w:val="24"/>
          <w:szCs w:val="24"/>
        </w:rPr>
        <w:t>Heteropneustes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fossilis</w:t>
      </w:r>
      <w:proofErr w:type="spellEnd"/>
      <w:r w:rsidR="00D67CB9" w:rsidRPr="00D826C8">
        <w:rPr>
          <w:rFonts w:ascii="Times New Roman" w:hAnsi="Times New Roman"/>
          <w:i/>
          <w:iCs/>
          <w:sz w:val="24"/>
          <w:szCs w:val="24"/>
        </w:rPr>
        <w:t xml:space="preserve"> </w:t>
      </w:r>
      <w:r w:rsidR="00D67CB9" w:rsidRPr="00D826C8">
        <w:rPr>
          <w:rFonts w:ascii="Times New Roman" w:hAnsi="Times New Roman"/>
          <w:sz w:val="24"/>
          <w:szCs w:val="24"/>
        </w:rPr>
        <w:t xml:space="preserve">(AF147792.1), </w:t>
      </w:r>
      <w:proofErr w:type="spellStart"/>
      <w:r w:rsidRPr="00D826C8">
        <w:rPr>
          <w:rFonts w:ascii="Times New Roman" w:hAnsi="Times New Roman"/>
          <w:i/>
          <w:iCs/>
          <w:sz w:val="24"/>
          <w:szCs w:val="24"/>
        </w:rPr>
        <w:t>Pangasianodon</w:t>
      </w:r>
      <w:proofErr w:type="spellEnd"/>
      <w:r w:rsidRPr="00D826C8">
        <w:rPr>
          <w:rFonts w:ascii="Times New Roman" w:hAnsi="Times New Roman"/>
          <w:i/>
          <w:iCs/>
          <w:sz w:val="24"/>
          <w:szCs w:val="24"/>
        </w:rPr>
        <w:t xml:space="preserve"> gigas</w:t>
      </w:r>
      <w:r w:rsidR="00D67CB9" w:rsidRPr="00D826C8">
        <w:rPr>
          <w:rFonts w:ascii="Times New Roman" w:hAnsi="Times New Roman"/>
          <w:i/>
          <w:iCs/>
          <w:sz w:val="24"/>
          <w:szCs w:val="24"/>
        </w:rPr>
        <w:t xml:space="preserve"> </w:t>
      </w:r>
      <w:r w:rsidR="00D67CB9" w:rsidRPr="00D826C8">
        <w:rPr>
          <w:rFonts w:ascii="Times New Roman" w:hAnsi="Times New Roman"/>
          <w:sz w:val="24"/>
          <w:szCs w:val="24"/>
        </w:rPr>
        <w:t>(L27835.1)</w:t>
      </w:r>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Pelteobagrus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fulvidraco</w:t>
      </w:r>
      <w:proofErr w:type="spellEnd"/>
      <w:r w:rsidR="00D67CB9" w:rsidRPr="00D826C8">
        <w:rPr>
          <w:rFonts w:ascii="Times New Roman" w:hAnsi="Times New Roman"/>
          <w:i/>
          <w:iCs/>
          <w:sz w:val="24"/>
          <w:szCs w:val="24"/>
        </w:rPr>
        <w:t xml:space="preserve"> </w:t>
      </w:r>
      <w:r w:rsidR="00D67CB9" w:rsidRPr="00D826C8">
        <w:rPr>
          <w:rFonts w:ascii="Times New Roman" w:hAnsi="Times New Roman"/>
          <w:sz w:val="24"/>
          <w:szCs w:val="24"/>
        </w:rPr>
        <w:t>(DQ112163.1)</w:t>
      </w:r>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Ictalurus</w:t>
      </w:r>
      <w:proofErr w:type="spellEnd"/>
      <w:r w:rsidRPr="00D826C8">
        <w:rPr>
          <w:rFonts w:ascii="Times New Roman" w:hAnsi="Times New Roman"/>
          <w:i/>
          <w:iCs/>
          <w:sz w:val="24"/>
          <w:szCs w:val="24"/>
        </w:rPr>
        <w:t xml:space="preserve"> punctatus</w:t>
      </w:r>
      <w:r w:rsidR="00D67CB9" w:rsidRPr="00D826C8">
        <w:rPr>
          <w:rFonts w:ascii="Times New Roman" w:hAnsi="Times New Roman"/>
          <w:i/>
          <w:iCs/>
          <w:sz w:val="24"/>
          <w:szCs w:val="24"/>
        </w:rPr>
        <w:t xml:space="preserve"> </w:t>
      </w:r>
      <w:r w:rsidR="00D67CB9" w:rsidRPr="00D826C8">
        <w:rPr>
          <w:rFonts w:ascii="Times New Roman" w:hAnsi="Times New Roman"/>
          <w:sz w:val="24"/>
          <w:szCs w:val="24"/>
        </w:rPr>
        <w:t>(NM_001200245.1)</w:t>
      </w:r>
      <w:bookmarkEnd w:id="7"/>
      <w:r w:rsidRPr="00D826C8">
        <w:rPr>
          <w:rFonts w:ascii="Times New Roman" w:hAnsi="Times New Roman"/>
          <w:sz w:val="24"/>
          <w:szCs w:val="24"/>
        </w:rPr>
        <w:t xml:space="preserve">, and three sequence data for </w:t>
      </w:r>
      <w:proofErr w:type="spellStart"/>
      <w:r w:rsidRPr="00D826C8">
        <w:rPr>
          <w:rFonts w:ascii="Times New Roman" w:hAnsi="Times New Roman"/>
          <w:i/>
          <w:iCs/>
          <w:sz w:val="24"/>
          <w:szCs w:val="24"/>
        </w:rPr>
        <w:t>Clarias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gariepinus</w:t>
      </w:r>
      <w:proofErr w:type="spellEnd"/>
      <w:r w:rsidRPr="00D826C8">
        <w:rPr>
          <w:rFonts w:ascii="Times New Roman" w:hAnsi="Times New Roman"/>
          <w:sz w:val="24"/>
          <w:szCs w:val="24"/>
        </w:rPr>
        <w:t xml:space="preserve"> species </w:t>
      </w:r>
      <w:bookmarkStart w:id="8" w:name="_Hlk97035553"/>
      <w:r w:rsidR="00D67CB9" w:rsidRPr="00D826C8">
        <w:rPr>
          <w:rFonts w:ascii="Times New Roman" w:hAnsi="Times New Roman"/>
          <w:sz w:val="24"/>
          <w:szCs w:val="24"/>
        </w:rPr>
        <w:t xml:space="preserve">(FJ823972.1, MN249238.1, EF411172.1) </w:t>
      </w:r>
      <w:bookmarkEnd w:id="8"/>
      <w:r w:rsidRPr="00D826C8">
        <w:rPr>
          <w:rFonts w:ascii="Times New Roman" w:hAnsi="Times New Roman"/>
          <w:sz w:val="24"/>
          <w:szCs w:val="24"/>
        </w:rPr>
        <w:t>(</w:t>
      </w:r>
      <w:r w:rsidR="00C73349">
        <w:rPr>
          <w:rFonts w:ascii="Times New Roman" w:hAnsi="Times New Roman"/>
          <w:sz w:val="24"/>
          <w:szCs w:val="24"/>
        </w:rPr>
        <w:t>Figure</w:t>
      </w:r>
      <w:r w:rsidR="00053058" w:rsidRPr="00D826C8">
        <w:rPr>
          <w:rFonts w:ascii="Times New Roman" w:hAnsi="Times New Roman"/>
          <w:sz w:val="24"/>
          <w:szCs w:val="24"/>
        </w:rPr>
        <w:t xml:space="preserve"> </w:t>
      </w:r>
      <w:r w:rsidRPr="00D826C8">
        <w:rPr>
          <w:rFonts w:ascii="Times New Roman" w:hAnsi="Times New Roman"/>
          <w:sz w:val="24"/>
          <w:szCs w:val="24"/>
        </w:rPr>
        <w:t xml:space="preserve">1). Sequence data were aligned using </w:t>
      </w:r>
      <w:proofErr w:type="spellStart"/>
      <w:r w:rsidRPr="00D826C8">
        <w:rPr>
          <w:rFonts w:ascii="Times New Roman" w:hAnsi="Times New Roman"/>
          <w:sz w:val="24"/>
          <w:szCs w:val="24"/>
        </w:rPr>
        <w:t>BioEdit</w:t>
      </w:r>
      <w:proofErr w:type="spellEnd"/>
      <w:r w:rsidRPr="00D826C8">
        <w:rPr>
          <w:rFonts w:ascii="Times New Roman" w:hAnsi="Times New Roman"/>
          <w:sz w:val="24"/>
          <w:szCs w:val="24"/>
        </w:rPr>
        <w:t xml:space="preserve"> software, then forward and reverse primers were designed. The resulting forward and reverse primer designs are shown in Table 2. The resulting primer has 21 bases on the forward primer and 24 bases on the reverse primer. There are three types of primers designed, consisting of 1 forward primer and two reference primers. The forward primer (F1) was paired with both reverse primers (R1 and R2), resulting in 2 pairs of primers with different target gene sizes (Table 1). Optimization of Melting PCR Temperature was at 61</w:t>
      </w:r>
      <w:r w:rsidRPr="00D826C8">
        <w:rPr>
          <w:rFonts w:ascii="Times New Roman" w:hAnsi="Times New Roman"/>
          <w:sz w:val="24"/>
          <w:szCs w:val="24"/>
        </w:rPr>
        <w:sym w:font="Symbol" w:char="F0B0"/>
      </w:r>
      <w:r w:rsidRPr="00D826C8">
        <w:rPr>
          <w:rFonts w:ascii="Times New Roman" w:hAnsi="Times New Roman"/>
          <w:sz w:val="24"/>
          <w:szCs w:val="24"/>
        </w:rPr>
        <w:t>C and 62</w:t>
      </w:r>
      <w:r w:rsidR="00F62907"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 xml:space="preserve">C. </w:t>
      </w:r>
    </w:p>
    <w:p w14:paraId="7E15E008" w14:textId="67FA6FB2" w:rsidR="007F78A0" w:rsidRPr="00D826C8" w:rsidRDefault="007F78A0" w:rsidP="00F4256B">
      <w:pPr>
        <w:spacing w:line="240" w:lineRule="auto"/>
        <w:jc w:val="center"/>
        <w:rPr>
          <w:rFonts w:ascii="Times New Roman" w:hAnsi="Times New Roman"/>
          <w:sz w:val="24"/>
          <w:szCs w:val="24"/>
        </w:rPr>
      </w:pPr>
      <w:r w:rsidRPr="00D826C8">
        <w:rPr>
          <w:rFonts w:ascii="Times New Roman" w:hAnsi="Times New Roman"/>
          <w:noProof/>
          <w:sz w:val="24"/>
          <w:szCs w:val="24"/>
        </w:rPr>
        <w:drawing>
          <wp:inline distT="0" distB="0" distL="0" distR="0" wp14:anchorId="7D749F72" wp14:editId="49E4C22F">
            <wp:extent cx="5003800" cy="29400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0" cy="2940050"/>
                    </a:xfrm>
                    <a:prstGeom prst="rect">
                      <a:avLst/>
                    </a:prstGeom>
                    <a:noFill/>
                    <a:ln>
                      <a:noFill/>
                    </a:ln>
                  </pic:spPr>
                </pic:pic>
              </a:graphicData>
            </a:graphic>
          </wp:inline>
        </w:drawing>
      </w:r>
    </w:p>
    <w:p w14:paraId="28408A6B" w14:textId="1C3BB2C5" w:rsidR="007F78A0" w:rsidRPr="00D826C8" w:rsidRDefault="00C51DE7" w:rsidP="00990E2D">
      <w:pPr>
        <w:spacing w:line="240" w:lineRule="auto"/>
        <w:ind w:left="993" w:hanging="993"/>
        <w:jc w:val="both"/>
        <w:rPr>
          <w:rFonts w:ascii="Times New Roman" w:hAnsi="Times New Roman"/>
          <w:sz w:val="24"/>
          <w:szCs w:val="24"/>
        </w:rPr>
      </w:pPr>
      <w:r w:rsidRPr="00D826C8">
        <w:rPr>
          <w:rFonts w:ascii="Times New Roman" w:hAnsi="Times New Roman"/>
          <w:sz w:val="24"/>
          <w:szCs w:val="24"/>
        </w:rPr>
        <w:t>Fig</w:t>
      </w:r>
      <w:r w:rsidR="001B3FA5">
        <w:rPr>
          <w:rFonts w:ascii="Times New Roman" w:hAnsi="Times New Roman"/>
          <w:sz w:val="24"/>
          <w:szCs w:val="24"/>
        </w:rPr>
        <w:t xml:space="preserve">ure </w:t>
      </w:r>
      <w:r w:rsidR="007F78A0" w:rsidRPr="00D826C8">
        <w:rPr>
          <w:rFonts w:ascii="Times New Roman" w:hAnsi="Times New Roman"/>
          <w:sz w:val="24"/>
          <w:szCs w:val="24"/>
        </w:rPr>
        <w:t>1.</w:t>
      </w:r>
      <w:r w:rsidR="001B3FA5">
        <w:rPr>
          <w:rFonts w:ascii="Times New Roman" w:hAnsi="Times New Roman"/>
          <w:sz w:val="24"/>
          <w:szCs w:val="24"/>
        </w:rPr>
        <w:t xml:space="preserve"> </w:t>
      </w:r>
      <w:r w:rsidR="007F78A0" w:rsidRPr="00D826C8">
        <w:rPr>
          <w:rFonts w:ascii="Times New Roman" w:hAnsi="Times New Roman"/>
          <w:sz w:val="24"/>
          <w:szCs w:val="24"/>
        </w:rPr>
        <w:t xml:space="preserve"> Alignment of GH gene of 7 catfish species (Ordo </w:t>
      </w:r>
      <w:proofErr w:type="spellStart"/>
      <w:r w:rsidR="007F78A0" w:rsidRPr="00D826C8">
        <w:rPr>
          <w:rFonts w:ascii="Times New Roman" w:hAnsi="Times New Roman"/>
          <w:sz w:val="24"/>
          <w:szCs w:val="24"/>
        </w:rPr>
        <w:t>Siluriformes</w:t>
      </w:r>
      <w:proofErr w:type="spellEnd"/>
      <w:r w:rsidR="007F78A0" w:rsidRPr="00D826C8">
        <w:rPr>
          <w:rFonts w:ascii="Times New Roman" w:hAnsi="Times New Roman"/>
          <w:sz w:val="24"/>
          <w:szCs w:val="24"/>
        </w:rPr>
        <w:t xml:space="preserve">) from the NCBI gene bank data. Note: Yellow box = sequence area for primer forward (F1); Blue box = sequence area for primer </w:t>
      </w:r>
      <w:proofErr w:type="gramStart"/>
      <w:r w:rsidR="007F78A0" w:rsidRPr="00D826C8">
        <w:rPr>
          <w:rFonts w:ascii="Times New Roman" w:hAnsi="Times New Roman"/>
          <w:sz w:val="24"/>
          <w:szCs w:val="24"/>
        </w:rPr>
        <w:t>reverse</w:t>
      </w:r>
      <w:proofErr w:type="gramEnd"/>
      <w:r w:rsidR="007F78A0" w:rsidRPr="00D826C8">
        <w:rPr>
          <w:rFonts w:ascii="Times New Roman" w:hAnsi="Times New Roman"/>
          <w:sz w:val="24"/>
          <w:szCs w:val="24"/>
        </w:rPr>
        <w:t xml:space="preserve"> 1 (R1); Purple square = sequence area for primer reverse 2 (R2)</w:t>
      </w:r>
    </w:p>
    <w:p w14:paraId="5D95E0B5" w14:textId="77777777" w:rsidR="0010050C" w:rsidRPr="00D826C8" w:rsidRDefault="0010050C" w:rsidP="00990E2D">
      <w:pPr>
        <w:spacing w:line="240" w:lineRule="auto"/>
        <w:ind w:left="993" w:hanging="993"/>
        <w:jc w:val="both"/>
        <w:rPr>
          <w:rFonts w:ascii="Times New Roman" w:hAnsi="Times New Roman"/>
          <w:sz w:val="24"/>
          <w:szCs w:val="24"/>
        </w:rPr>
      </w:pPr>
    </w:p>
    <w:p w14:paraId="4F0AF9EB" w14:textId="77777777" w:rsidR="007F78A0" w:rsidRPr="00D826C8" w:rsidRDefault="007F78A0" w:rsidP="00990E2D">
      <w:pPr>
        <w:spacing w:line="240" w:lineRule="auto"/>
        <w:ind w:left="851" w:hanging="851"/>
        <w:jc w:val="both"/>
        <w:rPr>
          <w:rFonts w:ascii="Times New Roman" w:hAnsi="Times New Roman"/>
          <w:sz w:val="24"/>
          <w:szCs w:val="24"/>
        </w:rPr>
      </w:pPr>
      <w:r w:rsidRPr="00D826C8">
        <w:rPr>
          <w:rFonts w:ascii="Times New Roman" w:hAnsi="Times New Roman"/>
          <w:sz w:val="24"/>
          <w:szCs w:val="24"/>
        </w:rPr>
        <w:t>Table 1. Primer sequence, length, GC content, TM, and size target of GH Catfish (GHC) for Tiger shovelnose catfish</w:t>
      </w:r>
    </w:p>
    <w:tbl>
      <w:tblPr>
        <w:tblStyle w:val="ListTable6Colorful"/>
        <w:tblW w:w="8282" w:type="dxa"/>
        <w:tblLook w:val="04A0" w:firstRow="1" w:lastRow="0" w:firstColumn="1" w:lastColumn="0" w:noHBand="0" w:noVBand="1"/>
      </w:tblPr>
      <w:tblGrid>
        <w:gridCol w:w="567"/>
        <w:gridCol w:w="827"/>
        <w:gridCol w:w="4135"/>
        <w:gridCol w:w="828"/>
        <w:gridCol w:w="731"/>
        <w:gridCol w:w="622"/>
        <w:gridCol w:w="572"/>
      </w:tblGrid>
      <w:tr w:rsidR="007F78A0" w:rsidRPr="006C233D" w14:paraId="315D4AE8" w14:textId="77777777" w:rsidTr="006176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73229E69" w14:textId="77777777" w:rsidR="007F78A0" w:rsidRPr="006C233D" w:rsidRDefault="007F78A0" w:rsidP="00677A25">
            <w:pPr>
              <w:jc w:val="center"/>
              <w:rPr>
                <w:rFonts w:ascii="Times New Roman" w:hAnsi="Times New Roman"/>
                <w:sz w:val="20"/>
                <w:szCs w:val="20"/>
              </w:rPr>
            </w:pPr>
            <w:r w:rsidRPr="006C233D">
              <w:rPr>
                <w:rFonts w:ascii="Times New Roman" w:hAnsi="Times New Roman"/>
                <w:sz w:val="20"/>
                <w:szCs w:val="20"/>
              </w:rPr>
              <w:t>No.</w:t>
            </w:r>
          </w:p>
        </w:tc>
        <w:tc>
          <w:tcPr>
            <w:tcW w:w="827" w:type="dxa"/>
            <w:shd w:val="clear" w:color="auto" w:fill="auto"/>
          </w:tcPr>
          <w:p w14:paraId="12240D85" w14:textId="77777777" w:rsidR="007F78A0" w:rsidRPr="006C233D" w:rsidRDefault="007F78A0" w:rsidP="00677A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GH Primer</w:t>
            </w:r>
          </w:p>
        </w:tc>
        <w:tc>
          <w:tcPr>
            <w:tcW w:w="4135" w:type="dxa"/>
            <w:shd w:val="clear" w:color="auto" w:fill="auto"/>
          </w:tcPr>
          <w:p w14:paraId="0C276609" w14:textId="77777777" w:rsidR="007F78A0" w:rsidRPr="006C233D" w:rsidRDefault="007F78A0" w:rsidP="00677A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Sequence (5’-3’)</w:t>
            </w:r>
          </w:p>
        </w:tc>
        <w:tc>
          <w:tcPr>
            <w:tcW w:w="828" w:type="dxa"/>
            <w:shd w:val="clear" w:color="auto" w:fill="auto"/>
          </w:tcPr>
          <w:p w14:paraId="5E821C04" w14:textId="78A5F445" w:rsidR="007F78A0" w:rsidRPr="006C233D" w:rsidRDefault="007F78A0" w:rsidP="00677A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Length</w:t>
            </w:r>
          </w:p>
        </w:tc>
        <w:tc>
          <w:tcPr>
            <w:tcW w:w="731" w:type="dxa"/>
            <w:shd w:val="clear" w:color="auto" w:fill="auto"/>
          </w:tcPr>
          <w:p w14:paraId="4079C0DC" w14:textId="77777777" w:rsidR="007F78A0" w:rsidRPr="006C233D" w:rsidRDefault="007F78A0" w:rsidP="00677A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GC (%)</w:t>
            </w:r>
          </w:p>
        </w:tc>
        <w:tc>
          <w:tcPr>
            <w:tcW w:w="622" w:type="dxa"/>
            <w:shd w:val="clear" w:color="auto" w:fill="auto"/>
          </w:tcPr>
          <w:p w14:paraId="19E897FC" w14:textId="1198ECF6" w:rsidR="007F78A0" w:rsidRPr="006C233D" w:rsidRDefault="007F78A0" w:rsidP="00677A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TM (</w:t>
            </w:r>
            <w:r w:rsidRPr="006C233D">
              <w:rPr>
                <w:rFonts w:ascii="Times New Roman" w:hAnsi="Times New Roman"/>
                <w:sz w:val="20"/>
                <w:szCs w:val="20"/>
              </w:rPr>
              <w:sym w:font="Symbol" w:char="F0B0"/>
            </w:r>
            <w:r w:rsidRPr="006C233D">
              <w:rPr>
                <w:rFonts w:ascii="Times New Roman" w:hAnsi="Times New Roman"/>
                <w:sz w:val="20"/>
                <w:szCs w:val="20"/>
              </w:rPr>
              <w:t>C)</w:t>
            </w:r>
          </w:p>
        </w:tc>
        <w:tc>
          <w:tcPr>
            <w:tcW w:w="572" w:type="dxa"/>
            <w:shd w:val="clear" w:color="auto" w:fill="auto"/>
          </w:tcPr>
          <w:p w14:paraId="0B1B4CC8" w14:textId="77777777" w:rsidR="007F78A0" w:rsidRPr="006C233D" w:rsidRDefault="007F78A0" w:rsidP="00677A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Size (bp)</w:t>
            </w:r>
          </w:p>
        </w:tc>
      </w:tr>
      <w:tr w:rsidR="007F78A0" w:rsidRPr="006C233D" w14:paraId="65D10853" w14:textId="77777777" w:rsidTr="00617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auto"/>
          </w:tcPr>
          <w:p w14:paraId="630F6D3D" w14:textId="77777777" w:rsidR="007F78A0" w:rsidRPr="006C233D" w:rsidRDefault="007F78A0" w:rsidP="00677A25">
            <w:pPr>
              <w:jc w:val="center"/>
              <w:rPr>
                <w:rFonts w:ascii="Times New Roman" w:hAnsi="Times New Roman"/>
                <w:sz w:val="20"/>
                <w:szCs w:val="20"/>
              </w:rPr>
            </w:pPr>
            <w:r w:rsidRPr="006C233D">
              <w:rPr>
                <w:rFonts w:ascii="Times New Roman" w:hAnsi="Times New Roman"/>
                <w:sz w:val="20"/>
                <w:szCs w:val="20"/>
              </w:rPr>
              <w:t>1</w:t>
            </w:r>
          </w:p>
        </w:tc>
        <w:tc>
          <w:tcPr>
            <w:tcW w:w="827" w:type="dxa"/>
            <w:shd w:val="clear" w:color="auto" w:fill="auto"/>
          </w:tcPr>
          <w:p w14:paraId="61DE9786"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F1</w:t>
            </w:r>
          </w:p>
        </w:tc>
        <w:tc>
          <w:tcPr>
            <w:tcW w:w="4135" w:type="dxa"/>
            <w:shd w:val="clear" w:color="auto" w:fill="auto"/>
          </w:tcPr>
          <w:p w14:paraId="3367CBC5" w14:textId="2FBFA8E7" w:rsidR="007F78A0" w:rsidRPr="006C233D" w:rsidRDefault="007F78A0" w:rsidP="00677A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rPr>
              <w:t>CAG GCA AGG ACG AGA CCC AGA</w:t>
            </w:r>
          </w:p>
        </w:tc>
        <w:tc>
          <w:tcPr>
            <w:tcW w:w="828" w:type="dxa"/>
            <w:shd w:val="clear" w:color="auto" w:fill="auto"/>
          </w:tcPr>
          <w:p w14:paraId="3001011C"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21</w:t>
            </w:r>
          </w:p>
        </w:tc>
        <w:tc>
          <w:tcPr>
            <w:tcW w:w="731" w:type="dxa"/>
            <w:shd w:val="clear" w:color="auto" w:fill="auto"/>
          </w:tcPr>
          <w:p w14:paraId="31946005"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61,9</w:t>
            </w:r>
          </w:p>
        </w:tc>
        <w:tc>
          <w:tcPr>
            <w:tcW w:w="622" w:type="dxa"/>
            <w:shd w:val="clear" w:color="auto" w:fill="auto"/>
          </w:tcPr>
          <w:p w14:paraId="24347948"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61,2</w:t>
            </w:r>
          </w:p>
        </w:tc>
        <w:tc>
          <w:tcPr>
            <w:tcW w:w="572" w:type="dxa"/>
            <w:vMerge w:val="restart"/>
            <w:shd w:val="clear" w:color="auto" w:fill="auto"/>
          </w:tcPr>
          <w:p w14:paraId="0C1D945A"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234</w:t>
            </w:r>
          </w:p>
        </w:tc>
      </w:tr>
      <w:tr w:rsidR="007F78A0" w:rsidRPr="006C233D" w14:paraId="1C03C315" w14:textId="77777777" w:rsidTr="00617695">
        <w:tc>
          <w:tcPr>
            <w:cnfStyle w:val="001000000000" w:firstRow="0" w:lastRow="0" w:firstColumn="1" w:lastColumn="0" w:oddVBand="0" w:evenVBand="0" w:oddHBand="0" w:evenHBand="0" w:firstRowFirstColumn="0" w:firstRowLastColumn="0" w:lastRowFirstColumn="0" w:lastRowLastColumn="0"/>
            <w:tcW w:w="567" w:type="dxa"/>
            <w:vMerge/>
            <w:shd w:val="clear" w:color="auto" w:fill="auto"/>
          </w:tcPr>
          <w:p w14:paraId="1F394ADF" w14:textId="77777777" w:rsidR="007F78A0" w:rsidRPr="006C233D" w:rsidRDefault="007F78A0" w:rsidP="00677A25">
            <w:pPr>
              <w:jc w:val="center"/>
              <w:rPr>
                <w:rFonts w:ascii="Times New Roman" w:hAnsi="Times New Roman"/>
                <w:sz w:val="20"/>
                <w:szCs w:val="20"/>
              </w:rPr>
            </w:pPr>
          </w:p>
        </w:tc>
        <w:tc>
          <w:tcPr>
            <w:tcW w:w="827" w:type="dxa"/>
            <w:shd w:val="clear" w:color="auto" w:fill="auto"/>
          </w:tcPr>
          <w:p w14:paraId="73FA0402"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6C233D">
              <w:rPr>
                <w:rFonts w:ascii="Times New Roman" w:hAnsi="Times New Roman"/>
                <w:b/>
                <w:bCs/>
                <w:sz w:val="20"/>
                <w:szCs w:val="20"/>
              </w:rPr>
              <w:t>R1</w:t>
            </w:r>
          </w:p>
        </w:tc>
        <w:tc>
          <w:tcPr>
            <w:tcW w:w="4135" w:type="dxa"/>
            <w:shd w:val="clear" w:color="auto" w:fill="auto"/>
          </w:tcPr>
          <w:p w14:paraId="5978A701" w14:textId="77777777" w:rsidR="007F78A0" w:rsidRPr="006C233D" w:rsidRDefault="007F78A0" w:rsidP="00677A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lang w:val="en-ID"/>
              </w:rPr>
            </w:pPr>
            <w:r w:rsidRPr="006C233D">
              <w:rPr>
                <w:rFonts w:ascii="Times New Roman" w:hAnsi="Times New Roman"/>
                <w:b/>
                <w:bCs/>
                <w:sz w:val="20"/>
                <w:szCs w:val="20"/>
                <w:lang w:val="en-ID"/>
              </w:rPr>
              <w:t>CTG GTA GAA ATC CTC GAA GGG CGG</w:t>
            </w:r>
          </w:p>
        </w:tc>
        <w:tc>
          <w:tcPr>
            <w:tcW w:w="828" w:type="dxa"/>
            <w:shd w:val="clear" w:color="auto" w:fill="auto"/>
          </w:tcPr>
          <w:p w14:paraId="04ABA8F5"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24</w:t>
            </w:r>
          </w:p>
        </w:tc>
        <w:tc>
          <w:tcPr>
            <w:tcW w:w="731" w:type="dxa"/>
            <w:shd w:val="clear" w:color="auto" w:fill="auto"/>
          </w:tcPr>
          <w:p w14:paraId="487D7F71"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58,33</w:t>
            </w:r>
          </w:p>
        </w:tc>
        <w:tc>
          <w:tcPr>
            <w:tcW w:w="622" w:type="dxa"/>
            <w:shd w:val="clear" w:color="auto" w:fill="auto"/>
          </w:tcPr>
          <w:p w14:paraId="118EF3FC"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61,1</w:t>
            </w:r>
          </w:p>
        </w:tc>
        <w:tc>
          <w:tcPr>
            <w:tcW w:w="572" w:type="dxa"/>
            <w:vMerge/>
            <w:shd w:val="clear" w:color="auto" w:fill="auto"/>
          </w:tcPr>
          <w:p w14:paraId="3432CD89"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p>
        </w:tc>
      </w:tr>
      <w:tr w:rsidR="007F78A0" w:rsidRPr="006C233D" w14:paraId="4F35042A" w14:textId="77777777" w:rsidTr="00617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auto"/>
          </w:tcPr>
          <w:p w14:paraId="575FCCF3" w14:textId="77777777" w:rsidR="007F78A0" w:rsidRPr="006C233D" w:rsidRDefault="007F78A0" w:rsidP="00677A25">
            <w:pPr>
              <w:jc w:val="center"/>
              <w:rPr>
                <w:rFonts w:ascii="Times New Roman" w:hAnsi="Times New Roman"/>
                <w:sz w:val="20"/>
                <w:szCs w:val="20"/>
              </w:rPr>
            </w:pPr>
            <w:r w:rsidRPr="006C233D">
              <w:rPr>
                <w:rFonts w:ascii="Times New Roman" w:hAnsi="Times New Roman"/>
                <w:sz w:val="20"/>
                <w:szCs w:val="20"/>
              </w:rPr>
              <w:t>2</w:t>
            </w:r>
          </w:p>
        </w:tc>
        <w:tc>
          <w:tcPr>
            <w:tcW w:w="827" w:type="dxa"/>
            <w:shd w:val="clear" w:color="auto" w:fill="auto"/>
          </w:tcPr>
          <w:p w14:paraId="11467BB1"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C233D">
              <w:rPr>
                <w:rFonts w:ascii="Times New Roman" w:hAnsi="Times New Roman"/>
                <w:sz w:val="20"/>
                <w:szCs w:val="20"/>
              </w:rPr>
              <w:t>F1</w:t>
            </w:r>
          </w:p>
        </w:tc>
        <w:tc>
          <w:tcPr>
            <w:tcW w:w="4135" w:type="dxa"/>
            <w:shd w:val="clear" w:color="auto" w:fill="auto"/>
          </w:tcPr>
          <w:p w14:paraId="580400FA" w14:textId="77777777" w:rsidR="007F78A0" w:rsidRPr="006C233D" w:rsidRDefault="007F78A0" w:rsidP="00677A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rPr>
              <w:t>CAG GCA AGG ACG AGA CCC AGA</w:t>
            </w:r>
          </w:p>
        </w:tc>
        <w:tc>
          <w:tcPr>
            <w:tcW w:w="828" w:type="dxa"/>
            <w:shd w:val="clear" w:color="auto" w:fill="auto"/>
          </w:tcPr>
          <w:p w14:paraId="2CA66232"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rPr>
              <w:t>21</w:t>
            </w:r>
          </w:p>
        </w:tc>
        <w:tc>
          <w:tcPr>
            <w:tcW w:w="731" w:type="dxa"/>
            <w:shd w:val="clear" w:color="auto" w:fill="auto"/>
          </w:tcPr>
          <w:p w14:paraId="0611D6CF"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rPr>
              <w:t>61,9</w:t>
            </w:r>
          </w:p>
        </w:tc>
        <w:tc>
          <w:tcPr>
            <w:tcW w:w="622" w:type="dxa"/>
            <w:shd w:val="clear" w:color="auto" w:fill="auto"/>
          </w:tcPr>
          <w:p w14:paraId="756A70FA"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rPr>
              <w:t>61,2</w:t>
            </w:r>
          </w:p>
        </w:tc>
        <w:tc>
          <w:tcPr>
            <w:tcW w:w="572" w:type="dxa"/>
            <w:vMerge w:val="restart"/>
            <w:shd w:val="clear" w:color="auto" w:fill="auto"/>
          </w:tcPr>
          <w:p w14:paraId="0F7D265A" w14:textId="77777777" w:rsidR="007F78A0" w:rsidRPr="006C233D" w:rsidRDefault="007F78A0"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148</w:t>
            </w:r>
          </w:p>
        </w:tc>
      </w:tr>
      <w:tr w:rsidR="007F78A0" w:rsidRPr="006C233D" w14:paraId="43278DEC" w14:textId="77777777" w:rsidTr="00617695">
        <w:tc>
          <w:tcPr>
            <w:cnfStyle w:val="001000000000" w:firstRow="0" w:lastRow="0" w:firstColumn="1" w:lastColumn="0" w:oddVBand="0" w:evenVBand="0" w:oddHBand="0" w:evenHBand="0" w:firstRowFirstColumn="0" w:firstRowLastColumn="0" w:lastRowFirstColumn="0" w:lastRowLastColumn="0"/>
            <w:tcW w:w="567" w:type="dxa"/>
            <w:vMerge/>
            <w:shd w:val="clear" w:color="auto" w:fill="auto"/>
          </w:tcPr>
          <w:p w14:paraId="3FEDA54F" w14:textId="77777777" w:rsidR="007F78A0" w:rsidRPr="006C233D" w:rsidRDefault="007F78A0" w:rsidP="00677A25">
            <w:pPr>
              <w:jc w:val="center"/>
              <w:rPr>
                <w:rFonts w:ascii="Times New Roman" w:hAnsi="Times New Roman"/>
                <w:sz w:val="20"/>
                <w:szCs w:val="20"/>
              </w:rPr>
            </w:pPr>
          </w:p>
        </w:tc>
        <w:tc>
          <w:tcPr>
            <w:tcW w:w="827" w:type="dxa"/>
            <w:shd w:val="clear" w:color="auto" w:fill="auto"/>
          </w:tcPr>
          <w:p w14:paraId="1AEBB0AD"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6C233D">
              <w:rPr>
                <w:rFonts w:ascii="Times New Roman" w:hAnsi="Times New Roman"/>
                <w:b/>
                <w:bCs/>
                <w:sz w:val="20"/>
                <w:szCs w:val="20"/>
              </w:rPr>
              <w:t>R2</w:t>
            </w:r>
          </w:p>
        </w:tc>
        <w:tc>
          <w:tcPr>
            <w:tcW w:w="4135" w:type="dxa"/>
            <w:shd w:val="clear" w:color="auto" w:fill="auto"/>
          </w:tcPr>
          <w:p w14:paraId="5EE5A2AE" w14:textId="77777777" w:rsidR="007F78A0" w:rsidRPr="006C233D" w:rsidRDefault="007F78A0" w:rsidP="00677A2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lang w:val="en-ID"/>
              </w:rPr>
            </w:pPr>
            <w:r w:rsidRPr="006C233D">
              <w:rPr>
                <w:rFonts w:ascii="Times New Roman" w:hAnsi="Times New Roman"/>
                <w:b/>
                <w:bCs/>
                <w:sz w:val="20"/>
                <w:szCs w:val="20"/>
                <w:lang w:val="en-ID"/>
              </w:rPr>
              <w:t>CCG ATG CCC ATT TTC AGG TCA GCC</w:t>
            </w:r>
          </w:p>
        </w:tc>
        <w:tc>
          <w:tcPr>
            <w:tcW w:w="828" w:type="dxa"/>
            <w:shd w:val="clear" w:color="auto" w:fill="auto"/>
          </w:tcPr>
          <w:p w14:paraId="2A9ED224"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24</w:t>
            </w:r>
          </w:p>
        </w:tc>
        <w:tc>
          <w:tcPr>
            <w:tcW w:w="731" w:type="dxa"/>
            <w:shd w:val="clear" w:color="auto" w:fill="auto"/>
          </w:tcPr>
          <w:p w14:paraId="29F07C42"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58,33</w:t>
            </w:r>
          </w:p>
        </w:tc>
        <w:tc>
          <w:tcPr>
            <w:tcW w:w="622" w:type="dxa"/>
            <w:shd w:val="clear" w:color="auto" w:fill="auto"/>
          </w:tcPr>
          <w:p w14:paraId="09DBA6E7"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r w:rsidRPr="006C233D">
              <w:rPr>
                <w:rFonts w:ascii="Times New Roman" w:hAnsi="Times New Roman"/>
                <w:sz w:val="20"/>
                <w:szCs w:val="20"/>
                <w:lang w:val="en-ID"/>
              </w:rPr>
              <w:t>62, 5</w:t>
            </w:r>
          </w:p>
        </w:tc>
        <w:tc>
          <w:tcPr>
            <w:tcW w:w="572" w:type="dxa"/>
            <w:vMerge/>
            <w:shd w:val="clear" w:color="auto" w:fill="auto"/>
          </w:tcPr>
          <w:p w14:paraId="4A9EA4DD" w14:textId="77777777" w:rsidR="007F78A0" w:rsidRPr="006C233D" w:rsidRDefault="007F78A0"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ID"/>
              </w:rPr>
            </w:pPr>
          </w:p>
        </w:tc>
      </w:tr>
    </w:tbl>
    <w:p w14:paraId="5F7C7631" w14:textId="77777777" w:rsidR="007F78A0" w:rsidRPr="00D826C8" w:rsidRDefault="007F78A0" w:rsidP="00677A25">
      <w:pPr>
        <w:spacing w:line="240" w:lineRule="auto"/>
        <w:jc w:val="both"/>
        <w:rPr>
          <w:rFonts w:ascii="Times New Roman" w:hAnsi="Times New Roman"/>
          <w:sz w:val="24"/>
          <w:szCs w:val="24"/>
        </w:rPr>
      </w:pPr>
      <w:r w:rsidRPr="00D826C8">
        <w:rPr>
          <w:rFonts w:ascii="Times New Roman" w:hAnsi="Times New Roman"/>
          <w:sz w:val="24"/>
          <w:szCs w:val="24"/>
        </w:rPr>
        <w:t>Note: TM = Temperature Melting</w:t>
      </w:r>
    </w:p>
    <w:p w14:paraId="1DEEEA69" w14:textId="625EB67F"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lastRenderedPageBreak/>
        <w:t xml:space="preserve">The GH gene was detected using the </w:t>
      </w:r>
      <w:proofErr w:type="spellStart"/>
      <w:r w:rsidRPr="00D826C8">
        <w:rPr>
          <w:rFonts w:ascii="Times New Roman" w:hAnsi="Times New Roman"/>
          <w:sz w:val="24"/>
          <w:szCs w:val="24"/>
        </w:rPr>
        <w:t>DreamTaq</w:t>
      </w:r>
      <w:proofErr w:type="spellEnd"/>
      <w:r w:rsidRPr="00D826C8">
        <w:rPr>
          <w:rFonts w:ascii="Times New Roman" w:hAnsi="Times New Roman"/>
          <w:sz w:val="24"/>
          <w:szCs w:val="24"/>
        </w:rPr>
        <w:t xml:space="preserve"> Master Green PCR Master Mix (2x) Kit (</w:t>
      </w:r>
      <w:proofErr w:type="spellStart"/>
      <w:r w:rsidRPr="00D826C8">
        <w:rPr>
          <w:rFonts w:ascii="Times New Roman" w:hAnsi="Times New Roman"/>
          <w:sz w:val="24"/>
          <w:szCs w:val="24"/>
        </w:rPr>
        <w:t>Thermo</w:t>
      </w:r>
      <w:proofErr w:type="spellEnd"/>
      <w:r w:rsidRPr="00D826C8">
        <w:rPr>
          <w:rFonts w:ascii="Times New Roman" w:hAnsi="Times New Roman"/>
          <w:sz w:val="24"/>
          <w:szCs w:val="24"/>
        </w:rPr>
        <w:t xml:space="preserve"> Scientific). Reaction composition consists of 12.5 </w:t>
      </w:r>
      <w:r w:rsidRPr="00D826C8">
        <w:rPr>
          <w:rFonts w:ascii="Times New Roman" w:hAnsi="Times New Roman"/>
          <w:sz w:val="24"/>
          <w:szCs w:val="24"/>
        </w:rPr>
        <w:sym w:font="Symbol" w:char="F06D"/>
      </w:r>
      <w:r w:rsidRPr="00D826C8">
        <w:rPr>
          <w:rFonts w:ascii="Times New Roman" w:hAnsi="Times New Roman"/>
          <w:sz w:val="24"/>
          <w:szCs w:val="24"/>
        </w:rPr>
        <w:t xml:space="preserve">L master mix, 1 </w:t>
      </w:r>
      <w:r w:rsidRPr="00D826C8">
        <w:rPr>
          <w:rFonts w:ascii="Times New Roman" w:hAnsi="Times New Roman"/>
          <w:sz w:val="24"/>
          <w:szCs w:val="24"/>
        </w:rPr>
        <w:sym w:font="Symbol" w:char="F06D"/>
      </w:r>
      <w:r w:rsidRPr="00D826C8">
        <w:rPr>
          <w:rFonts w:ascii="Times New Roman" w:hAnsi="Times New Roman"/>
          <w:sz w:val="24"/>
          <w:szCs w:val="24"/>
        </w:rPr>
        <w:t xml:space="preserve">L primer GH F, 1 </w:t>
      </w:r>
      <w:r w:rsidRPr="00D826C8">
        <w:rPr>
          <w:rFonts w:ascii="Times New Roman" w:hAnsi="Times New Roman"/>
          <w:sz w:val="24"/>
          <w:szCs w:val="24"/>
        </w:rPr>
        <w:sym w:font="Symbol" w:char="F06D"/>
      </w:r>
      <w:r w:rsidRPr="00D826C8">
        <w:rPr>
          <w:rFonts w:ascii="Times New Roman" w:hAnsi="Times New Roman"/>
          <w:sz w:val="24"/>
          <w:szCs w:val="24"/>
        </w:rPr>
        <w:t xml:space="preserve">L primer GH Reach with a concentration of 10 </w:t>
      </w:r>
      <w:r w:rsidRPr="00D826C8">
        <w:rPr>
          <w:rFonts w:ascii="Times New Roman" w:hAnsi="Times New Roman"/>
          <w:sz w:val="24"/>
          <w:szCs w:val="24"/>
        </w:rPr>
        <w:sym w:font="Symbol" w:char="F072"/>
      </w:r>
      <w:r w:rsidRPr="00D826C8">
        <w:rPr>
          <w:rFonts w:ascii="Times New Roman" w:hAnsi="Times New Roman"/>
          <w:sz w:val="24"/>
          <w:szCs w:val="24"/>
        </w:rPr>
        <w:t xml:space="preserve">mol, 1 </w:t>
      </w:r>
      <w:r w:rsidRPr="00D826C8">
        <w:rPr>
          <w:rFonts w:ascii="Times New Roman" w:hAnsi="Times New Roman"/>
          <w:sz w:val="24"/>
          <w:szCs w:val="24"/>
        </w:rPr>
        <w:sym w:font="Symbol" w:char="F06D"/>
      </w:r>
      <w:r w:rsidRPr="00D826C8">
        <w:rPr>
          <w:rFonts w:ascii="Times New Roman" w:hAnsi="Times New Roman"/>
          <w:sz w:val="24"/>
          <w:szCs w:val="24"/>
        </w:rPr>
        <w:t xml:space="preserve">L cDNA, and nuclease-free water up to a volume of 25 </w:t>
      </w:r>
      <w:r w:rsidRPr="00D826C8">
        <w:rPr>
          <w:rFonts w:ascii="Times New Roman" w:hAnsi="Times New Roman"/>
          <w:sz w:val="24"/>
          <w:szCs w:val="24"/>
        </w:rPr>
        <w:sym w:font="Symbol" w:char="F06D"/>
      </w:r>
      <w:r w:rsidRPr="00D826C8">
        <w:rPr>
          <w:rFonts w:ascii="Times New Roman" w:hAnsi="Times New Roman"/>
          <w:sz w:val="24"/>
          <w:szCs w:val="24"/>
        </w:rPr>
        <w:t>L. The conditions of PCR amplification include</w:t>
      </w:r>
      <w:r w:rsidR="00053058" w:rsidRPr="00D826C8">
        <w:rPr>
          <w:rFonts w:ascii="Times New Roman" w:hAnsi="Times New Roman"/>
          <w:sz w:val="24"/>
          <w:szCs w:val="24"/>
        </w:rPr>
        <w:t xml:space="preserve"> </w:t>
      </w:r>
      <w:r w:rsidRPr="00D826C8">
        <w:rPr>
          <w:rFonts w:ascii="Times New Roman" w:hAnsi="Times New Roman"/>
          <w:sz w:val="24"/>
          <w:szCs w:val="24"/>
        </w:rPr>
        <w:t>consisting of initial denaturation temperature of 94</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 min, denaturation temperature of 94</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20 sec, the annealing temperature of 61</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sec, and extension temperature of 72</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sec. This cycle was repeated 40 times and was terminated with a final extension of 72</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7 min and the final conditioning at 4</w:t>
      </w:r>
      <w:r w:rsidR="00053058"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PCR samples can be stored in a refrigerator or directly electrophoresed on the agarose gel.</w:t>
      </w:r>
    </w:p>
    <w:p w14:paraId="71A36E05" w14:textId="77777777" w:rsidR="00D612CC" w:rsidRPr="00D826C8" w:rsidRDefault="00D612CC" w:rsidP="001B3FA5">
      <w:pPr>
        <w:spacing w:line="240" w:lineRule="auto"/>
        <w:ind w:firstLine="720"/>
        <w:jc w:val="both"/>
        <w:rPr>
          <w:rFonts w:ascii="Times New Roman" w:hAnsi="Times New Roman"/>
          <w:b/>
          <w:bCs/>
          <w:sz w:val="24"/>
          <w:szCs w:val="24"/>
        </w:rPr>
      </w:pPr>
      <w:r w:rsidRPr="00D826C8">
        <w:rPr>
          <w:rFonts w:ascii="Times New Roman" w:hAnsi="Times New Roman"/>
          <w:b/>
          <w:bCs/>
          <w:sz w:val="24"/>
          <w:szCs w:val="24"/>
        </w:rPr>
        <w:t>Electrophoresis and Visualization</w:t>
      </w:r>
    </w:p>
    <w:p w14:paraId="25C0B8A5" w14:textId="0638C8DA"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The PCR results were then electrophoresed using horizontal electrophoresis (</w:t>
      </w:r>
      <w:proofErr w:type="spellStart"/>
      <w:r w:rsidRPr="00D826C8">
        <w:rPr>
          <w:rFonts w:ascii="Times New Roman" w:hAnsi="Times New Roman"/>
          <w:sz w:val="24"/>
          <w:szCs w:val="24"/>
        </w:rPr>
        <w:t>Biorad</w:t>
      </w:r>
      <w:proofErr w:type="spellEnd"/>
      <w:r w:rsidRPr="00D826C8">
        <w:rPr>
          <w:rFonts w:ascii="Times New Roman" w:hAnsi="Times New Roman"/>
          <w:sz w:val="24"/>
          <w:szCs w:val="24"/>
        </w:rPr>
        <w:t>). Electrophoresis was carried out on 1.5</w:t>
      </w:r>
      <w:r w:rsidR="00053058" w:rsidRPr="00D826C8">
        <w:rPr>
          <w:rFonts w:ascii="Times New Roman" w:hAnsi="Times New Roman"/>
          <w:sz w:val="24"/>
          <w:szCs w:val="24"/>
        </w:rPr>
        <w:t xml:space="preserve"> </w:t>
      </w:r>
      <w:r w:rsidRPr="00D826C8">
        <w:rPr>
          <w:rFonts w:ascii="Times New Roman" w:hAnsi="Times New Roman"/>
          <w:sz w:val="24"/>
          <w:szCs w:val="24"/>
        </w:rPr>
        <w:t>% agarose gel with 1</w:t>
      </w:r>
      <w:r w:rsidR="001C1972" w:rsidRPr="00D826C8">
        <w:rPr>
          <w:rFonts w:ascii="Times New Roman" w:hAnsi="Times New Roman"/>
          <w:sz w:val="24"/>
          <w:szCs w:val="24"/>
        </w:rPr>
        <w:sym w:font="Symbol" w:char="F0B4"/>
      </w:r>
      <w:r w:rsidRPr="00D826C8">
        <w:rPr>
          <w:rFonts w:ascii="Times New Roman" w:hAnsi="Times New Roman"/>
          <w:sz w:val="24"/>
          <w:szCs w:val="24"/>
        </w:rPr>
        <w:t xml:space="preserve"> TBE then immersed in 0.5</w:t>
      </w:r>
      <w:bookmarkStart w:id="9" w:name="_Hlk100045706"/>
      <w:r w:rsidR="000C50F3" w:rsidRPr="00D826C8">
        <w:rPr>
          <w:rFonts w:ascii="Times New Roman" w:hAnsi="Times New Roman"/>
          <w:sz w:val="24"/>
          <w:szCs w:val="24"/>
        </w:rPr>
        <w:sym w:font="Symbol" w:char="F0B4"/>
      </w:r>
      <w:bookmarkEnd w:id="9"/>
      <w:r w:rsidRPr="00D826C8">
        <w:rPr>
          <w:rFonts w:ascii="Times New Roman" w:hAnsi="Times New Roman"/>
          <w:sz w:val="24"/>
          <w:szCs w:val="24"/>
        </w:rPr>
        <w:t xml:space="preserve"> TBE solution. </w:t>
      </w:r>
      <w:r w:rsidR="00F62907" w:rsidRPr="00D826C8">
        <w:rPr>
          <w:rFonts w:ascii="Times New Roman" w:hAnsi="Times New Roman"/>
          <w:sz w:val="24"/>
          <w:szCs w:val="24"/>
        </w:rPr>
        <w:t xml:space="preserve">PCR product was inserted </w:t>
      </w:r>
      <w:r w:rsidRPr="00D826C8">
        <w:rPr>
          <w:rFonts w:ascii="Times New Roman" w:hAnsi="Times New Roman"/>
          <w:sz w:val="24"/>
          <w:szCs w:val="24"/>
        </w:rPr>
        <w:t xml:space="preserve">2 </w:t>
      </w:r>
      <w:r w:rsidR="00F62907" w:rsidRPr="00D826C8">
        <w:rPr>
          <w:rFonts w:ascii="Times New Roman" w:hAnsi="Times New Roman"/>
          <w:sz w:val="24"/>
          <w:szCs w:val="24"/>
        </w:rPr>
        <w:sym w:font="Symbol" w:char="F06D"/>
      </w:r>
      <w:r w:rsidRPr="00D826C8">
        <w:rPr>
          <w:rFonts w:ascii="Times New Roman" w:hAnsi="Times New Roman"/>
          <w:sz w:val="24"/>
          <w:szCs w:val="24"/>
        </w:rPr>
        <w:t>L of into the electrophoresis well, parallel to the DNA leader 100 bp plus (</w:t>
      </w:r>
      <w:proofErr w:type="spellStart"/>
      <w:r w:rsidRPr="00D826C8">
        <w:rPr>
          <w:rFonts w:ascii="Times New Roman" w:hAnsi="Times New Roman"/>
          <w:sz w:val="24"/>
          <w:szCs w:val="24"/>
        </w:rPr>
        <w:t>Vivantis</w:t>
      </w:r>
      <w:proofErr w:type="spellEnd"/>
      <w:r w:rsidRPr="00D826C8">
        <w:rPr>
          <w:rFonts w:ascii="Times New Roman" w:hAnsi="Times New Roman"/>
          <w:sz w:val="24"/>
          <w:szCs w:val="24"/>
        </w:rPr>
        <w:t xml:space="preserve">) as a marker. Electrophoresis was run at 100 volts for 30 min. Electrophoresis results were visualized and documented on a Gel Doc UV transilluminator (Simple Protein). The amplification results of the </w:t>
      </w:r>
      <w:r w:rsidRPr="00D826C8">
        <w:rPr>
          <w:rFonts w:ascii="Times New Roman" w:hAnsi="Times New Roman"/>
          <w:sz w:val="24"/>
          <w:szCs w:val="24"/>
        </w:rPr>
        <w:sym w:font="Symbol" w:char="F062"/>
      </w:r>
      <w:r w:rsidRPr="00D826C8">
        <w:rPr>
          <w:rFonts w:ascii="Times New Roman" w:hAnsi="Times New Roman"/>
          <w:sz w:val="24"/>
          <w:szCs w:val="24"/>
        </w:rPr>
        <w:t>-actin gene were used as an internal control to confirm the success of mRNA isolation.</w:t>
      </w:r>
    </w:p>
    <w:p w14:paraId="6D784B1C" w14:textId="77777777" w:rsidR="00D612CC" w:rsidRPr="00D826C8" w:rsidRDefault="00D612CC" w:rsidP="001B3FA5">
      <w:pPr>
        <w:spacing w:line="240" w:lineRule="auto"/>
        <w:ind w:firstLine="720"/>
        <w:jc w:val="both"/>
        <w:rPr>
          <w:rFonts w:ascii="Times New Roman" w:hAnsi="Times New Roman"/>
          <w:b/>
          <w:bCs/>
          <w:sz w:val="24"/>
          <w:szCs w:val="24"/>
        </w:rPr>
      </w:pPr>
      <w:r w:rsidRPr="00D826C8">
        <w:rPr>
          <w:rFonts w:ascii="Times New Roman" w:hAnsi="Times New Roman"/>
          <w:b/>
          <w:bCs/>
          <w:sz w:val="24"/>
          <w:szCs w:val="24"/>
        </w:rPr>
        <w:t>Cloning and Sequencing</w:t>
      </w:r>
    </w:p>
    <w:p w14:paraId="3AE661B7" w14:textId="7BFC6F5C"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 xml:space="preserve">The results of GH gene amplification showing a single fragment were then cloned in the PT. </w:t>
      </w:r>
      <w:proofErr w:type="spellStart"/>
      <w:r w:rsidRPr="00D826C8">
        <w:rPr>
          <w:rFonts w:ascii="Times New Roman" w:hAnsi="Times New Roman"/>
          <w:sz w:val="24"/>
          <w:szCs w:val="24"/>
        </w:rPr>
        <w:t>Genetika</w:t>
      </w:r>
      <w:proofErr w:type="spellEnd"/>
      <w:r w:rsidRPr="00D826C8">
        <w:rPr>
          <w:rFonts w:ascii="Times New Roman" w:hAnsi="Times New Roman"/>
          <w:sz w:val="24"/>
          <w:szCs w:val="24"/>
        </w:rPr>
        <w:t xml:space="preserve"> Science, Indonesia, and sequencing at the 1</w:t>
      </w:r>
      <w:r w:rsidRPr="00D826C8">
        <w:rPr>
          <w:rFonts w:ascii="Times New Roman" w:hAnsi="Times New Roman"/>
          <w:sz w:val="24"/>
          <w:szCs w:val="24"/>
          <w:vertAlign w:val="superscript"/>
        </w:rPr>
        <w:t>st</w:t>
      </w:r>
      <w:r w:rsidRPr="00D826C8">
        <w:rPr>
          <w:rFonts w:ascii="Times New Roman" w:hAnsi="Times New Roman"/>
          <w:sz w:val="24"/>
          <w:szCs w:val="24"/>
        </w:rPr>
        <w:t xml:space="preserve"> Base Laboratory, Malaysia. The PCR product was cloned with stages including purification, ligation, transformation, and colony PCR using pTA2 vector (Toyobo) a pair of primers, namely T3 Primer: 5'- ATTAACCCTCACTAAAG – 3' and T7 Promoter Primer: 5'-TAATACGACTCACTATAGGG – 3'. The results of GH gene amplification showing a single fragment were then cloned at the PT. PCR colony program: initial denaturation of 95</w:t>
      </w:r>
      <w:r w:rsidR="000C50F3"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5 min, denaturation temperature of 94</w:t>
      </w:r>
      <w:r w:rsidR="000C50F3"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15 sec, the annealing temperature of 45</w:t>
      </w:r>
      <w:r w:rsidR="000C50F3"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30 sec, and extension temperature of 72</w:t>
      </w:r>
      <w:r w:rsidR="000C50F3"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for 45 sec. This cycle was repeated 35 times, and final conditioning was at 4</w:t>
      </w:r>
      <w:r w:rsidR="000C50F3" w:rsidRPr="00D826C8">
        <w:rPr>
          <w:rFonts w:ascii="Times New Roman" w:hAnsi="Times New Roman"/>
          <w:sz w:val="24"/>
          <w:szCs w:val="24"/>
        </w:rPr>
        <w:t xml:space="preserve"> </w:t>
      </w:r>
      <w:r w:rsidRPr="00D826C8">
        <w:rPr>
          <w:rFonts w:ascii="Times New Roman" w:hAnsi="Times New Roman"/>
          <w:sz w:val="24"/>
          <w:szCs w:val="24"/>
        </w:rPr>
        <w:sym w:font="Symbol" w:char="F0B0"/>
      </w:r>
      <w:r w:rsidRPr="00D826C8">
        <w:rPr>
          <w:rFonts w:ascii="Times New Roman" w:hAnsi="Times New Roman"/>
          <w:sz w:val="24"/>
          <w:szCs w:val="24"/>
        </w:rPr>
        <w:t>C. The DNA sequencing process was conducted using the Sanger sequencing method.</w:t>
      </w:r>
    </w:p>
    <w:p w14:paraId="333F7CBA" w14:textId="77777777" w:rsidR="00D612CC" w:rsidRPr="00D826C8" w:rsidRDefault="00D612CC" w:rsidP="001B3FA5">
      <w:pPr>
        <w:spacing w:line="240" w:lineRule="auto"/>
        <w:ind w:firstLine="720"/>
        <w:jc w:val="both"/>
        <w:rPr>
          <w:rFonts w:ascii="Times New Roman" w:hAnsi="Times New Roman"/>
          <w:b/>
          <w:bCs/>
          <w:sz w:val="24"/>
          <w:szCs w:val="24"/>
        </w:rPr>
      </w:pPr>
      <w:r w:rsidRPr="00D826C8">
        <w:rPr>
          <w:rFonts w:ascii="Times New Roman" w:hAnsi="Times New Roman"/>
          <w:b/>
          <w:bCs/>
          <w:sz w:val="24"/>
          <w:szCs w:val="24"/>
        </w:rPr>
        <w:t>Data analysis</w:t>
      </w:r>
    </w:p>
    <w:p w14:paraId="25A0BDD8" w14:textId="77777777"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 xml:space="preserve">The analyzed data are descriptive. The chromatogram image was generated using the Finch TV software. Sequencing results were analyzed using </w:t>
      </w:r>
      <w:proofErr w:type="spellStart"/>
      <w:r w:rsidRPr="00D826C8">
        <w:rPr>
          <w:rFonts w:ascii="Times New Roman" w:hAnsi="Times New Roman"/>
          <w:sz w:val="24"/>
          <w:szCs w:val="24"/>
        </w:rPr>
        <w:t>BioEdit</w:t>
      </w:r>
      <w:proofErr w:type="spellEnd"/>
      <w:r w:rsidRPr="00D826C8">
        <w:rPr>
          <w:rFonts w:ascii="Times New Roman" w:hAnsi="Times New Roman"/>
          <w:sz w:val="24"/>
          <w:szCs w:val="24"/>
        </w:rPr>
        <w:t xml:space="preserve"> software, MEGA X, to produce a phylogenetic tree and amino acid reduction. The amino acid composition was tabulated. BLASTN software was applied to check the similarity of the GH gene with the closer species.</w:t>
      </w:r>
    </w:p>
    <w:p w14:paraId="229FCBE1" w14:textId="29EC68DE" w:rsidR="00D612CC" w:rsidRPr="00D826C8" w:rsidRDefault="00D612CC" w:rsidP="00990E2D">
      <w:pPr>
        <w:spacing w:line="240" w:lineRule="auto"/>
        <w:ind w:firstLine="720"/>
        <w:jc w:val="both"/>
        <w:rPr>
          <w:rFonts w:ascii="Times New Roman" w:hAnsi="Times New Roman"/>
          <w:sz w:val="24"/>
          <w:szCs w:val="24"/>
        </w:rPr>
      </w:pPr>
    </w:p>
    <w:p w14:paraId="675D4A5B" w14:textId="0183EC3A" w:rsidR="00D612CC" w:rsidRDefault="001B3FA5" w:rsidP="00990E2D">
      <w:pPr>
        <w:spacing w:line="240" w:lineRule="auto"/>
        <w:contextualSpacing/>
        <w:jc w:val="both"/>
        <w:rPr>
          <w:rFonts w:ascii="Times New Roman" w:hAnsi="Times New Roman"/>
          <w:b/>
          <w:bCs/>
          <w:sz w:val="24"/>
          <w:szCs w:val="24"/>
        </w:rPr>
      </w:pPr>
      <w:r>
        <w:rPr>
          <w:rFonts w:ascii="Times New Roman" w:hAnsi="Times New Roman"/>
          <w:b/>
          <w:bCs/>
          <w:sz w:val="24"/>
          <w:szCs w:val="24"/>
        </w:rPr>
        <w:t>RESULTS AND DISCUSSION</w:t>
      </w:r>
    </w:p>
    <w:p w14:paraId="6BBE1931" w14:textId="77777777" w:rsidR="001B3FA5" w:rsidRPr="00D826C8" w:rsidRDefault="001B3FA5" w:rsidP="00990E2D">
      <w:pPr>
        <w:spacing w:line="240" w:lineRule="auto"/>
        <w:contextualSpacing/>
        <w:jc w:val="both"/>
        <w:rPr>
          <w:rFonts w:ascii="Times New Roman" w:hAnsi="Times New Roman"/>
          <w:b/>
          <w:bCs/>
          <w:sz w:val="24"/>
          <w:szCs w:val="24"/>
        </w:rPr>
      </w:pPr>
    </w:p>
    <w:p w14:paraId="00FA7A2D" w14:textId="07F0DCE6" w:rsidR="00D612CC" w:rsidRDefault="00D612CC" w:rsidP="00990E2D">
      <w:pPr>
        <w:spacing w:line="240" w:lineRule="auto"/>
        <w:ind w:firstLine="720"/>
        <w:jc w:val="both"/>
        <w:rPr>
          <w:rFonts w:ascii="Times New Roman" w:hAnsi="Times New Roman"/>
          <w:color w:val="FF0000"/>
          <w:sz w:val="24"/>
          <w:szCs w:val="24"/>
        </w:rPr>
      </w:pPr>
      <w:r w:rsidRPr="00D826C8">
        <w:rPr>
          <w:rFonts w:ascii="Times New Roman" w:hAnsi="Times New Roman"/>
          <w:sz w:val="24"/>
          <w:szCs w:val="24"/>
        </w:rPr>
        <w:t xml:space="preserve">The Tiger shovelnose catfish was 602 g of body weight, 43 cm of Total Body Length, and 4.6 mg of pituitary gland weight. The concentration of the total </w:t>
      </w:r>
      <w:r w:rsidRPr="00D826C8">
        <w:rPr>
          <w:rFonts w:ascii="Times New Roman" w:hAnsi="Times New Roman"/>
          <w:sz w:val="24"/>
          <w:szCs w:val="24"/>
        </w:rPr>
        <w:lastRenderedPageBreak/>
        <w:t>RNA from the pituitary gland was 227 ng</w:t>
      </w:r>
      <w:r w:rsidR="00FD184F">
        <w:rPr>
          <w:rFonts w:ascii="Times New Roman" w:hAnsi="Times New Roman"/>
          <w:sz w:val="24"/>
          <w:szCs w:val="24"/>
        </w:rPr>
        <w:t>/</w:t>
      </w:r>
      <w:r w:rsidRPr="00D826C8">
        <w:rPr>
          <w:rFonts w:ascii="Times New Roman" w:hAnsi="Times New Roman"/>
          <w:sz w:val="24"/>
          <w:szCs w:val="24"/>
        </w:rPr>
        <w:t>µL with a purity of A260</w:t>
      </w:r>
      <w:r w:rsidR="00FD184F">
        <w:rPr>
          <w:rFonts w:ascii="Times New Roman" w:hAnsi="Times New Roman"/>
          <w:sz w:val="24"/>
          <w:szCs w:val="24"/>
        </w:rPr>
        <w:t>/</w:t>
      </w:r>
      <w:r w:rsidRPr="00D826C8">
        <w:rPr>
          <w:rFonts w:ascii="Times New Roman" w:hAnsi="Times New Roman"/>
          <w:sz w:val="24"/>
          <w:szCs w:val="24"/>
        </w:rPr>
        <w:t>A280 was 1.821. The visualization of the total RNA electrophoresis results is shown in Fig 2</w:t>
      </w:r>
      <w:r w:rsidR="0095520B" w:rsidRPr="00D826C8">
        <w:rPr>
          <w:rFonts w:ascii="Times New Roman" w:hAnsi="Times New Roman"/>
          <w:sz w:val="24"/>
          <w:szCs w:val="24"/>
        </w:rPr>
        <w:t>a</w:t>
      </w:r>
      <w:r w:rsidRPr="00D826C8">
        <w:rPr>
          <w:rFonts w:ascii="Times New Roman" w:hAnsi="Times New Roman"/>
          <w:sz w:val="24"/>
          <w:szCs w:val="24"/>
        </w:rPr>
        <w:t xml:space="preserve">. The amplification results using </w:t>
      </w:r>
      <w:r w:rsidRPr="00D826C8">
        <w:rPr>
          <w:rFonts w:ascii="Times New Roman" w:hAnsi="Times New Roman"/>
          <w:sz w:val="24"/>
          <w:szCs w:val="24"/>
        </w:rPr>
        <w:sym w:font="Symbol" w:char="F062"/>
      </w:r>
      <w:r w:rsidRPr="00D826C8">
        <w:rPr>
          <w:rFonts w:ascii="Times New Roman" w:hAnsi="Times New Roman"/>
          <w:sz w:val="24"/>
          <w:szCs w:val="24"/>
        </w:rPr>
        <w:t>-actin primer as an internal control are</w:t>
      </w:r>
      <w:r w:rsidRPr="00D826C8">
        <w:rPr>
          <w:rFonts w:ascii="Times New Roman" w:hAnsi="Times New Roman"/>
          <w:color w:val="FF0000"/>
          <w:sz w:val="24"/>
          <w:szCs w:val="24"/>
        </w:rPr>
        <w:t xml:space="preserve"> </w:t>
      </w:r>
      <w:r w:rsidRPr="00D826C8">
        <w:rPr>
          <w:rFonts w:ascii="Times New Roman" w:hAnsi="Times New Roman"/>
          <w:sz w:val="24"/>
          <w:szCs w:val="24"/>
        </w:rPr>
        <w:t xml:space="preserve">shown in </w:t>
      </w:r>
      <w:r w:rsidR="00C73349">
        <w:rPr>
          <w:rFonts w:ascii="Times New Roman" w:hAnsi="Times New Roman"/>
          <w:sz w:val="24"/>
          <w:szCs w:val="24"/>
        </w:rPr>
        <w:t>Figure</w:t>
      </w:r>
      <w:r w:rsidRPr="00D826C8">
        <w:rPr>
          <w:rFonts w:ascii="Times New Roman" w:hAnsi="Times New Roman"/>
          <w:sz w:val="24"/>
          <w:szCs w:val="24"/>
        </w:rPr>
        <w:t xml:space="preserve"> 2</w:t>
      </w:r>
      <w:r w:rsidR="0095520B" w:rsidRPr="00D826C8">
        <w:rPr>
          <w:rFonts w:ascii="Times New Roman" w:hAnsi="Times New Roman"/>
          <w:sz w:val="24"/>
          <w:szCs w:val="24"/>
        </w:rPr>
        <w:t>b</w:t>
      </w:r>
      <w:r w:rsidRPr="00D826C8">
        <w:rPr>
          <w:rFonts w:ascii="Times New Roman" w:hAnsi="Times New Roman"/>
          <w:sz w:val="24"/>
          <w:szCs w:val="24"/>
        </w:rPr>
        <w:t xml:space="preserve">. The amplification results show a fragment in the pituitary sample parallel to the positive control of the </w:t>
      </w:r>
      <w:r w:rsidRPr="00D826C8">
        <w:rPr>
          <w:rFonts w:ascii="Times New Roman" w:hAnsi="Times New Roman"/>
          <w:sz w:val="24"/>
          <w:szCs w:val="24"/>
        </w:rPr>
        <w:sym w:font="Symbol" w:char="F062"/>
      </w:r>
      <w:r w:rsidRPr="00D826C8">
        <w:rPr>
          <w:rFonts w:ascii="Times New Roman" w:hAnsi="Times New Roman"/>
          <w:sz w:val="24"/>
          <w:szCs w:val="24"/>
        </w:rPr>
        <w:t xml:space="preserve">-actin gene, which was at a size of 300 bp. </w:t>
      </w:r>
      <w:r w:rsidR="00222B5C" w:rsidRPr="00D826C8">
        <w:rPr>
          <w:rFonts w:ascii="Times New Roman" w:hAnsi="Times New Roman"/>
          <w:sz w:val="24"/>
          <w:szCs w:val="24"/>
        </w:rPr>
        <w:t xml:space="preserve">The amplification of </w:t>
      </w:r>
      <w:r w:rsidR="00222B5C">
        <w:rPr>
          <w:rFonts w:ascii="Times New Roman" w:hAnsi="Times New Roman"/>
          <w:sz w:val="24"/>
          <w:szCs w:val="24"/>
        </w:rPr>
        <w:t>c</w:t>
      </w:r>
      <w:r w:rsidR="00222B5C" w:rsidRPr="00D826C8">
        <w:rPr>
          <w:rFonts w:ascii="Times New Roman" w:hAnsi="Times New Roman"/>
          <w:sz w:val="24"/>
          <w:szCs w:val="24"/>
        </w:rPr>
        <w:t xml:space="preserve">DNA from tiger shovelnose catfish samples using </w:t>
      </w:r>
      <w:r w:rsidR="00222B5C" w:rsidRPr="00D826C8">
        <w:rPr>
          <w:rFonts w:ascii="Times New Roman" w:hAnsi="Times New Roman"/>
          <w:sz w:val="24"/>
          <w:szCs w:val="24"/>
        </w:rPr>
        <w:sym w:font="Symbol" w:char="F062"/>
      </w:r>
      <w:r w:rsidR="00222B5C" w:rsidRPr="00D826C8">
        <w:rPr>
          <w:rFonts w:ascii="Times New Roman" w:hAnsi="Times New Roman"/>
          <w:sz w:val="24"/>
          <w:szCs w:val="24"/>
        </w:rPr>
        <w:t>-actin primers indicates that the gene was successfully isolated from the pituitary gland</w:t>
      </w:r>
      <w:r w:rsidR="00222B5C">
        <w:rPr>
          <w:rFonts w:ascii="Times New Roman" w:hAnsi="Times New Roman"/>
          <w:sz w:val="24"/>
          <w:szCs w:val="24"/>
        </w:rPr>
        <w:t xml:space="preserve"> and producing a single band</w:t>
      </w:r>
      <w:r w:rsidR="00222B5C" w:rsidRPr="00D826C8">
        <w:rPr>
          <w:rFonts w:ascii="Times New Roman" w:hAnsi="Times New Roman"/>
          <w:sz w:val="24"/>
          <w:szCs w:val="24"/>
        </w:rPr>
        <w:t xml:space="preserve">. This is in line with </w:t>
      </w:r>
      <w:r w:rsidR="00222B5C" w:rsidRPr="00D826C8">
        <w:rPr>
          <w:rFonts w:ascii="Times New Roman" w:hAnsi="Times New Roman"/>
          <w:sz w:val="24"/>
          <w:szCs w:val="24"/>
        </w:rPr>
        <w:fldChar w:fldCharType="begin" w:fldLock="1"/>
      </w:r>
      <w:r w:rsidR="00222B5C">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hypophthalmus","type":"article-journal","volume":"4"},"uris":["http://www.mendeley.com/documents/?uuid=ad6a61d6-73ba-48d3-9399-54bda6766dc9"]}],"mendeley":{"formattedCitation":"(Dewi et al., 2009)","manualFormatting":"Dewi et al. (2009)","plainTextFormattedCitation":"(Dewi et al., 2009)","previouslyFormattedCitation":"(Dewi et al. 2009)"},"properties":{"noteIndex":0},"schema":"https://github.com/citation-style-language/schema/raw/master/csl-citation.json"}</w:instrText>
      </w:r>
      <w:r w:rsidR="00222B5C" w:rsidRPr="00D826C8">
        <w:rPr>
          <w:rFonts w:ascii="Times New Roman" w:hAnsi="Times New Roman"/>
          <w:sz w:val="24"/>
          <w:szCs w:val="24"/>
        </w:rPr>
        <w:fldChar w:fldCharType="separate"/>
      </w:r>
      <w:r w:rsidR="00222B5C" w:rsidRPr="00D826C8">
        <w:rPr>
          <w:rFonts w:ascii="Times New Roman" w:hAnsi="Times New Roman"/>
          <w:noProof/>
          <w:sz w:val="24"/>
          <w:szCs w:val="24"/>
        </w:rPr>
        <w:t xml:space="preserve">Dewi </w:t>
      </w:r>
      <w:r w:rsidR="00222B5C" w:rsidRPr="00B17142">
        <w:rPr>
          <w:rFonts w:ascii="Times New Roman" w:hAnsi="Times New Roman"/>
          <w:i/>
          <w:iCs/>
          <w:noProof/>
          <w:sz w:val="24"/>
          <w:szCs w:val="24"/>
        </w:rPr>
        <w:t>et al</w:t>
      </w:r>
      <w:r w:rsidR="00222B5C" w:rsidRPr="00D826C8">
        <w:rPr>
          <w:rFonts w:ascii="Times New Roman" w:hAnsi="Times New Roman"/>
          <w:noProof/>
          <w:sz w:val="24"/>
          <w:szCs w:val="24"/>
        </w:rPr>
        <w:t>. (2009)</w:t>
      </w:r>
      <w:r w:rsidR="00222B5C" w:rsidRPr="00D826C8">
        <w:rPr>
          <w:rFonts w:ascii="Times New Roman" w:hAnsi="Times New Roman"/>
          <w:sz w:val="24"/>
          <w:szCs w:val="24"/>
        </w:rPr>
        <w:fldChar w:fldCharType="end"/>
      </w:r>
      <w:r w:rsidR="00222B5C" w:rsidRPr="00D826C8">
        <w:rPr>
          <w:rFonts w:ascii="Times New Roman" w:hAnsi="Times New Roman"/>
          <w:sz w:val="24"/>
          <w:szCs w:val="24"/>
        </w:rPr>
        <w:t xml:space="preserve">, using the </w:t>
      </w:r>
      <w:bookmarkStart w:id="10" w:name="_Hlk94010917"/>
      <w:r w:rsidR="00222B5C" w:rsidRPr="00D826C8">
        <w:rPr>
          <w:rFonts w:ascii="Times New Roman" w:hAnsi="Times New Roman"/>
          <w:sz w:val="24"/>
          <w:szCs w:val="24"/>
        </w:rPr>
        <w:sym w:font="Symbol" w:char="F062"/>
      </w:r>
      <w:r w:rsidR="00222B5C" w:rsidRPr="00D826C8">
        <w:rPr>
          <w:rFonts w:ascii="Times New Roman" w:hAnsi="Times New Roman"/>
          <w:sz w:val="24"/>
          <w:szCs w:val="24"/>
        </w:rPr>
        <w:t>-actin</w:t>
      </w:r>
      <w:bookmarkEnd w:id="10"/>
      <w:r w:rsidR="00222B5C" w:rsidRPr="00D826C8">
        <w:rPr>
          <w:rFonts w:ascii="Times New Roman" w:hAnsi="Times New Roman"/>
          <w:sz w:val="24"/>
          <w:szCs w:val="24"/>
        </w:rPr>
        <w:t xml:space="preserve"> gene as an internal control to confirm GH gene isolation in catfish (</w:t>
      </w:r>
      <w:r w:rsidR="00222B5C" w:rsidRPr="00D826C8">
        <w:rPr>
          <w:rFonts w:ascii="Times New Roman" w:hAnsi="Times New Roman"/>
          <w:i/>
          <w:iCs/>
          <w:sz w:val="24"/>
          <w:szCs w:val="24"/>
        </w:rPr>
        <w:t xml:space="preserve">P. </w:t>
      </w:r>
      <w:proofErr w:type="spellStart"/>
      <w:r w:rsidR="00222B5C" w:rsidRPr="00D826C8">
        <w:rPr>
          <w:rFonts w:ascii="Times New Roman" w:hAnsi="Times New Roman"/>
          <w:i/>
          <w:iCs/>
          <w:sz w:val="24"/>
          <w:szCs w:val="24"/>
        </w:rPr>
        <w:t>hypophthalmus</w:t>
      </w:r>
      <w:proofErr w:type="spellEnd"/>
      <w:r w:rsidR="00222B5C" w:rsidRPr="00D826C8">
        <w:rPr>
          <w:rFonts w:ascii="Times New Roman" w:hAnsi="Times New Roman"/>
          <w:sz w:val="24"/>
          <w:szCs w:val="24"/>
        </w:rPr>
        <w:t>).</w:t>
      </w:r>
    </w:p>
    <w:p w14:paraId="2A015E7D" w14:textId="78FB186A" w:rsidR="0010050C" w:rsidRPr="00D826C8" w:rsidRDefault="00D071B3" w:rsidP="00F4256B">
      <w:pPr>
        <w:spacing w:line="240" w:lineRule="auto"/>
        <w:ind w:firstLine="720"/>
        <w:jc w:val="center"/>
        <w:rPr>
          <w:rFonts w:ascii="Times New Roman" w:hAnsi="Times New Roman"/>
          <w:sz w:val="24"/>
          <w:szCs w:val="24"/>
        </w:rPr>
      </w:pPr>
      <w:r w:rsidRPr="00D826C8">
        <w:rPr>
          <w:rFonts w:ascii="Times New Roman" w:hAnsi="Times New Roman"/>
          <w:noProof/>
          <w:sz w:val="24"/>
          <w:szCs w:val="24"/>
        </w:rPr>
        <w:drawing>
          <wp:inline distT="0" distB="0" distL="0" distR="0" wp14:anchorId="41C3D5F1" wp14:editId="6310635F">
            <wp:extent cx="2279650" cy="2142564"/>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7056" cy="2149524"/>
                    </a:xfrm>
                    <a:prstGeom prst="rect">
                      <a:avLst/>
                    </a:prstGeom>
                    <a:noFill/>
                    <a:ln>
                      <a:noFill/>
                    </a:ln>
                  </pic:spPr>
                </pic:pic>
              </a:graphicData>
            </a:graphic>
          </wp:inline>
        </w:drawing>
      </w:r>
    </w:p>
    <w:p w14:paraId="1192BBED" w14:textId="7A1EEF9B" w:rsidR="0010050C" w:rsidRPr="00D826C8" w:rsidRDefault="00C51DE7" w:rsidP="001B3FA5">
      <w:pPr>
        <w:spacing w:line="240" w:lineRule="auto"/>
        <w:ind w:left="993" w:hanging="993"/>
        <w:jc w:val="both"/>
        <w:rPr>
          <w:rFonts w:ascii="Times New Roman" w:hAnsi="Times New Roman"/>
          <w:sz w:val="24"/>
          <w:szCs w:val="24"/>
        </w:rPr>
      </w:pPr>
      <w:r w:rsidRPr="00D826C8">
        <w:rPr>
          <w:rFonts w:ascii="Times New Roman" w:hAnsi="Times New Roman"/>
          <w:sz w:val="24"/>
          <w:szCs w:val="24"/>
        </w:rPr>
        <w:t>Fig</w:t>
      </w:r>
      <w:r w:rsidR="001B3FA5">
        <w:rPr>
          <w:rFonts w:ascii="Times New Roman" w:hAnsi="Times New Roman"/>
          <w:sz w:val="24"/>
          <w:szCs w:val="24"/>
        </w:rPr>
        <w:t>ure</w:t>
      </w:r>
      <w:r w:rsidR="0010050C" w:rsidRPr="00D826C8">
        <w:rPr>
          <w:rFonts w:ascii="Times New Roman" w:hAnsi="Times New Roman"/>
          <w:sz w:val="24"/>
          <w:szCs w:val="24"/>
        </w:rPr>
        <w:t xml:space="preserve"> 2. Result of (</w:t>
      </w:r>
      <w:r w:rsidR="00D071B3" w:rsidRPr="00D826C8">
        <w:rPr>
          <w:rFonts w:ascii="Times New Roman" w:hAnsi="Times New Roman"/>
          <w:sz w:val="24"/>
          <w:szCs w:val="24"/>
        </w:rPr>
        <w:t>a</w:t>
      </w:r>
      <w:r w:rsidR="0010050C" w:rsidRPr="00D826C8">
        <w:rPr>
          <w:rFonts w:ascii="Times New Roman" w:hAnsi="Times New Roman"/>
          <w:sz w:val="24"/>
          <w:szCs w:val="24"/>
        </w:rPr>
        <w:t>)Total RNA electrophoresis, and (</w:t>
      </w:r>
      <w:r w:rsidR="00D071B3" w:rsidRPr="00D826C8">
        <w:rPr>
          <w:rFonts w:ascii="Times New Roman" w:hAnsi="Times New Roman"/>
          <w:sz w:val="24"/>
          <w:szCs w:val="24"/>
        </w:rPr>
        <w:t>b</w:t>
      </w:r>
      <w:r w:rsidR="0010050C" w:rsidRPr="00D826C8">
        <w:rPr>
          <w:rFonts w:ascii="Times New Roman" w:hAnsi="Times New Roman"/>
          <w:sz w:val="24"/>
          <w:szCs w:val="24"/>
        </w:rPr>
        <w:t xml:space="preserve">) amplification </w:t>
      </w:r>
      <w:r w:rsidR="0010050C" w:rsidRPr="00D826C8">
        <w:rPr>
          <w:rFonts w:ascii="Times New Roman" w:hAnsi="Times New Roman"/>
          <w:sz w:val="24"/>
          <w:szCs w:val="24"/>
        </w:rPr>
        <w:sym w:font="Symbol" w:char="F062"/>
      </w:r>
      <w:r w:rsidR="0010050C" w:rsidRPr="00D826C8">
        <w:rPr>
          <w:rFonts w:ascii="Times New Roman" w:hAnsi="Times New Roman"/>
          <w:sz w:val="24"/>
          <w:szCs w:val="24"/>
        </w:rPr>
        <w:t>-actin gene from pituitary by Tiger shovelnose catfish. Note: M= Marker (100 bp plus DNA Ladder), RNA = Total RNA, H = Pituitary by Tiger shovelnose catfish, K (+) = Positive control, K (-) = negative control.</w:t>
      </w:r>
    </w:p>
    <w:p w14:paraId="0FC832A0" w14:textId="5400CBF2" w:rsidR="0010050C" w:rsidRPr="00D826C8" w:rsidRDefault="009B68AE" w:rsidP="00F4256B">
      <w:pPr>
        <w:spacing w:line="240" w:lineRule="auto"/>
        <w:ind w:left="851" w:hanging="851"/>
        <w:jc w:val="center"/>
        <w:rPr>
          <w:rFonts w:ascii="Times New Roman" w:hAnsi="Times New Roman"/>
          <w:sz w:val="24"/>
          <w:szCs w:val="24"/>
        </w:rPr>
      </w:pPr>
      <w:r w:rsidRPr="00D826C8">
        <w:rPr>
          <w:rFonts w:ascii="Times New Roman" w:hAnsi="Times New Roman"/>
          <w:noProof/>
          <w:sz w:val="24"/>
          <w:szCs w:val="24"/>
        </w:rPr>
        <w:drawing>
          <wp:inline distT="0" distB="0" distL="0" distR="0" wp14:anchorId="07AAF6CC" wp14:editId="1D1124D1">
            <wp:extent cx="2772463" cy="20955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2607" cy="2110726"/>
                    </a:xfrm>
                    <a:prstGeom prst="rect">
                      <a:avLst/>
                    </a:prstGeom>
                    <a:noFill/>
                    <a:ln>
                      <a:noFill/>
                    </a:ln>
                  </pic:spPr>
                </pic:pic>
              </a:graphicData>
            </a:graphic>
          </wp:inline>
        </w:drawing>
      </w:r>
    </w:p>
    <w:p w14:paraId="6070D120" w14:textId="33B5328D" w:rsidR="0010050C" w:rsidRPr="00D826C8" w:rsidRDefault="00C51DE7" w:rsidP="00990E2D">
      <w:pPr>
        <w:spacing w:line="240" w:lineRule="auto"/>
        <w:ind w:left="993" w:hanging="993"/>
        <w:jc w:val="both"/>
        <w:rPr>
          <w:rFonts w:ascii="Times New Roman" w:hAnsi="Times New Roman"/>
          <w:sz w:val="24"/>
          <w:szCs w:val="24"/>
        </w:rPr>
      </w:pPr>
      <w:r w:rsidRPr="00D826C8">
        <w:rPr>
          <w:rFonts w:ascii="Times New Roman" w:hAnsi="Times New Roman"/>
          <w:sz w:val="24"/>
          <w:szCs w:val="24"/>
        </w:rPr>
        <w:t>Fig</w:t>
      </w:r>
      <w:r w:rsidR="001B3FA5">
        <w:rPr>
          <w:rFonts w:ascii="Times New Roman" w:hAnsi="Times New Roman"/>
          <w:sz w:val="24"/>
          <w:szCs w:val="24"/>
        </w:rPr>
        <w:t>ure</w:t>
      </w:r>
      <w:r w:rsidR="0010050C" w:rsidRPr="00D826C8">
        <w:rPr>
          <w:rFonts w:ascii="Times New Roman" w:hAnsi="Times New Roman"/>
          <w:sz w:val="24"/>
          <w:szCs w:val="24"/>
        </w:rPr>
        <w:t xml:space="preserve"> 3. </w:t>
      </w:r>
      <w:r w:rsidR="009B68AE" w:rsidRPr="00D826C8">
        <w:rPr>
          <w:rFonts w:ascii="Times New Roman" w:hAnsi="Times New Roman"/>
          <w:sz w:val="24"/>
          <w:szCs w:val="24"/>
        </w:rPr>
        <w:t>a</w:t>
      </w:r>
      <w:r w:rsidR="0010050C" w:rsidRPr="00D826C8">
        <w:rPr>
          <w:rFonts w:ascii="Times New Roman" w:hAnsi="Times New Roman"/>
          <w:sz w:val="24"/>
          <w:szCs w:val="24"/>
        </w:rPr>
        <w:t xml:space="preserve">) The results of optimization GH degenerate primers, </w:t>
      </w:r>
      <w:r w:rsidR="009B68AE" w:rsidRPr="00D826C8">
        <w:rPr>
          <w:rFonts w:ascii="Times New Roman" w:hAnsi="Times New Roman"/>
          <w:sz w:val="24"/>
          <w:szCs w:val="24"/>
        </w:rPr>
        <w:t>b</w:t>
      </w:r>
      <w:r w:rsidR="0010050C" w:rsidRPr="00D826C8">
        <w:rPr>
          <w:rFonts w:ascii="Times New Roman" w:hAnsi="Times New Roman"/>
          <w:sz w:val="24"/>
          <w:szCs w:val="24"/>
        </w:rPr>
        <w:t>) amplification growth hormone (GH) from Tiger shovelnose catfish using degenerate primers. Note: M = Marker (100 bp plus DNA Ladder); (</w:t>
      </w:r>
      <w:r w:rsidR="009B68AE" w:rsidRPr="00D826C8">
        <w:rPr>
          <w:rFonts w:ascii="Times New Roman" w:hAnsi="Times New Roman"/>
          <w:sz w:val="24"/>
          <w:szCs w:val="24"/>
        </w:rPr>
        <w:t>a</w:t>
      </w:r>
      <w:r w:rsidR="0010050C" w:rsidRPr="00D826C8">
        <w:rPr>
          <w:rFonts w:ascii="Times New Roman" w:hAnsi="Times New Roman"/>
          <w:sz w:val="24"/>
          <w:szCs w:val="24"/>
        </w:rPr>
        <w:t>) R1= Primer design with pair forward 1 and reverse 1; R2= Primer design with forward 1 and reverse two pairs. Samples used are from the pituitary organ. (</w:t>
      </w:r>
      <w:r w:rsidR="00D071B3" w:rsidRPr="00D826C8">
        <w:rPr>
          <w:rFonts w:ascii="Times New Roman" w:hAnsi="Times New Roman"/>
          <w:sz w:val="24"/>
          <w:szCs w:val="24"/>
        </w:rPr>
        <w:t>b</w:t>
      </w:r>
      <w:r w:rsidR="0010050C" w:rsidRPr="00D826C8">
        <w:rPr>
          <w:rFonts w:ascii="Times New Roman" w:hAnsi="Times New Roman"/>
          <w:sz w:val="24"/>
          <w:szCs w:val="24"/>
        </w:rPr>
        <w:t>) H = Pituitary by Tiger shovelnose catfish, K (+) = Positive control, K (-) = negative control.</w:t>
      </w:r>
    </w:p>
    <w:p w14:paraId="2E7F635C" w14:textId="1EE06EA8" w:rsidR="00D612CC" w:rsidRDefault="003452AC" w:rsidP="00990E2D">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lastRenderedPageBreak/>
        <w:t>The success of GH gene isolation was strengthened by the amplification results using two types of GH degenerate primers, namely with a size of 234 bp at annealing temperature of 61</w:t>
      </w:r>
      <w:r w:rsidRPr="00D826C8">
        <w:rPr>
          <w:rFonts w:ascii="Times New Roman" w:hAnsi="Times New Roman"/>
          <w:sz w:val="24"/>
          <w:szCs w:val="24"/>
        </w:rPr>
        <w:sym w:font="Symbol" w:char="F0B0"/>
      </w:r>
      <w:r w:rsidRPr="00D826C8">
        <w:rPr>
          <w:rFonts w:ascii="Times New Roman" w:hAnsi="Times New Roman"/>
          <w:sz w:val="24"/>
          <w:szCs w:val="24"/>
        </w:rPr>
        <w:t>C and at 148 bp with an annealing temperature of 62</w:t>
      </w:r>
      <w:r w:rsidRPr="00D826C8">
        <w:rPr>
          <w:rFonts w:ascii="Times New Roman" w:hAnsi="Times New Roman"/>
          <w:sz w:val="24"/>
          <w:szCs w:val="24"/>
        </w:rPr>
        <w:sym w:font="Symbol" w:char="F0B0"/>
      </w:r>
      <w:r w:rsidRPr="00D826C8">
        <w:rPr>
          <w:rFonts w:ascii="Times New Roman" w:hAnsi="Times New Roman"/>
          <w:sz w:val="24"/>
          <w:szCs w:val="24"/>
        </w:rPr>
        <w:t xml:space="preserve">C. Both pairs of GH degenerate primers could produce a clear single band. </w:t>
      </w:r>
      <w:r w:rsidR="00D612CC" w:rsidRPr="00D826C8">
        <w:rPr>
          <w:rFonts w:ascii="Times New Roman" w:hAnsi="Times New Roman"/>
          <w:sz w:val="24"/>
          <w:szCs w:val="24"/>
        </w:rPr>
        <w:t>The amplification results in the optimization of GH primers are shown in Fig</w:t>
      </w:r>
      <w:r w:rsidR="001B3FA5">
        <w:rPr>
          <w:rFonts w:ascii="Times New Roman" w:hAnsi="Times New Roman"/>
          <w:sz w:val="24"/>
          <w:szCs w:val="24"/>
        </w:rPr>
        <w:t>ure</w:t>
      </w:r>
      <w:r w:rsidR="00F62907" w:rsidRPr="00D826C8">
        <w:rPr>
          <w:rFonts w:ascii="Times New Roman" w:hAnsi="Times New Roman"/>
          <w:sz w:val="24"/>
          <w:szCs w:val="24"/>
        </w:rPr>
        <w:t>.</w:t>
      </w:r>
      <w:r w:rsidR="00D612CC" w:rsidRPr="00D826C8">
        <w:rPr>
          <w:rFonts w:ascii="Times New Roman" w:hAnsi="Times New Roman"/>
          <w:sz w:val="24"/>
          <w:szCs w:val="24"/>
        </w:rPr>
        <w:t xml:space="preserve"> 3</w:t>
      </w:r>
      <w:r w:rsidR="0095520B" w:rsidRPr="00D826C8">
        <w:rPr>
          <w:rFonts w:ascii="Times New Roman" w:hAnsi="Times New Roman"/>
          <w:sz w:val="24"/>
          <w:szCs w:val="24"/>
        </w:rPr>
        <w:t>a</w:t>
      </w:r>
      <w:r w:rsidR="00D612CC" w:rsidRPr="00D826C8">
        <w:rPr>
          <w:rFonts w:ascii="Times New Roman" w:hAnsi="Times New Roman"/>
          <w:sz w:val="24"/>
          <w:szCs w:val="24"/>
        </w:rPr>
        <w:t>. The F1 and R1 primer pairs produced the appropriate target gene at 234 bp. The bands that appeared were seen at 61</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and 62</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but the thickest bands that occurred were at 61</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The F1 and R2 primer pairs produced the appropriate target gene at 148 bp. The resulting band was at both temperatures of 61</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and 62</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but the thickest appearance was at 62</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The results</w:t>
      </w:r>
      <w:r w:rsidR="00993BDF" w:rsidRPr="00D826C8">
        <w:rPr>
          <w:rFonts w:ascii="Times New Roman" w:hAnsi="Times New Roman"/>
          <w:sz w:val="24"/>
          <w:szCs w:val="24"/>
        </w:rPr>
        <w:t xml:space="preserve"> </w:t>
      </w:r>
      <w:r w:rsidR="00D612CC" w:rsidRPr="00D826C8">
        <w:rPr>
          <w:rFonts w:ascii="Times New Roman" w:hAnsi="Times New Roman"/>
          <w:sz w:val="24"/>
          <w:szCs w:val="24"/>
        </w:rPr>
        <w:t>of the annealing temperature were determined from the thickness and consistency of the band. The primer with a target of 234 bp had an annealing temperature of 61</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C, while the target of 148 bp had an annealing temperature of 62</w:t>
      </w:r>
      <w:r w:rsidR="00993BDF" w:rsidRPr="00D826C8">
        <w:rPr>
          <w:rFonts w:ascii="Times New Roman" w:hAnsi="Times New Roman"/>
          <w:sz w:val="24"/>
          <w:szCs w:val="24"/>
        </w:rPr>
        <w:t xml:space="preserve"> </w:t>
      </w:r>
      <w:r w:rsidR="00D612CC" w:rsidRPr="00D826C8">
        <w:rPr>
          <w:rFonts w:ascii="Times New Roman" w:hAnsi="Times New Roman"/>
          <w:sz w:val="24"/>
          <w:szCs w:val="24"/>
        </w:rPr>
        <w:sym w:font="Symbol" w:char="F0B0"/>
      </w:r>
      <w:r w:rsidR="00D612CC" w:rsidRPr="00D826C8">
        <w:rPr>
          <w:rFonts w:ascii="Times New Roman" w:hAnsi="Times New Roman"/>
          <w:sz w:val="24"/>
          <w:szCs w:val="24"/>
        </w:rPr>
        <w:t xml:space="preserve">C. Primer pairs F1 and R1 are primers with clearer results and have better consistency than pairs F1 and R2. Therefore, we determined the primer pair used for sequencing is F1 and R1, whose final product of the primer pair for sequencing is 234 bp. Primers with a target of 148 bp are suggested as GH detection primers for gene expression using the Real-Time PCR technique because they have targets with lower molecular weights. </w:t>
      </w:r>
    </w:p>
    <w:p w14:paraId="303872DA" w14:textId="269E8BEC" w:rsidR="003342E4" w:rsidRPr="00D826C8" w:rsidRDefault="003342E4" w:rsidP="00CC2953">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t>The GH gene in Siberian Sturgeon (</w:t>
      </w:r>
      <w:r w:rsidRPr="00D826C8">
        <w:rPr>
          <w:rFonts w:ascii="Times New Roman" w:hAnsi="Times New Roman"/>
          <w:i/>
          <w:iCs/>
          <w:sz w:val="24"/>
          <w:szCs w:val="24"/>
        </w:rPr>
        <w:t xml:space="preserve">Acipenser </w:t>
      </w:r>
      <w:proofErr w:type="spellStart"/>
      <w:r w:rsidRPr="00D826C8">
        <w:rPr>
          <w:rFonts w:ascii="Times New Roman" w:hAnsi="Times New Roman"/>
          <w:i/>
          <w:iCs/>
          <w:sz w:val="24"/>
          <w:szCs w:val="24"/>
        </w:rPr>
        <w:t>bareii</w:t>
      </w:r>
      <w:proofErr w:type="spellEnd"/>
      <w:r w:rsidRPr="00D826C8">
        <w:rPr>
          <w:rFonts w:ascii="Times New Roman" w:hAnsi="Times New Roman"/>
          <w:sz w:val="24"/>
          <w:szCs w:val="24"/>
        </w:rPr>
        <w:t xml:space="preserve">) was analyzed for gene expression using real-time PCR using primers with a target gene of 159 bp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{"citationItems":[{"id":"ITEM-1","itemData":{"DOI":"10.22099/mbrc.2015.3166","ISSN":"2322-181X","PMID":"27844010","abstract":"The mRNA expression of growth hormone (GH) gene in early development stages of Siberian sturgeon was investigated using RT-PCR method. Samples were collected from unfertilized eggs up to 50 days post hatched (dph) larvae in 11 different times. Ribosomal protein L6 (RPL6) transcripts were used as the internal standard during quantification of GH mRNA expression. The results showed that the GH mRNA could be observed in the eyed eggs and even at unfertilized eggs of Siberian sturgeon. The highest amounts of GH mRNA were found at 25 and 50 dph larvae, while the lowest levels were detected at 1 and 3 dph larvae stage. These findings suggest that, the GH mRNA play a key role during developmental stages of Siberian sturgeon.","author":[{"dropping-particle":"","family":"Abdolahnejad","given":"Zeinab","non-dropping-particle":"","parse-names":false,"suffix":""},{"dropping-particle":"","family":"Pourkazemi","given":"Mohammad","non-dropping-particle":"","parse-names":false,"suffix":""},{"dropping-particle":"","family":"Khoshkholgh","given":"Majid Reza","non-dropping-particle":"","parse-names":false,"suffix":""},{"dropping-particle":"","family":"Yarmohammadi","given":"Mahtab","non-dropping-particle":"","parse-names":false,"suffix":""}],"container-title":"Molecular biology research communications","id":"ITEM-1","issue":"4","issued":{"date-parts":[["2015"]]},"page":"181-188","title":"Expression of growth hormone gene during early development of Siberian sturgeon (Acipenser baerii).","type":"article-journal","volume":"4"},"uris":["http://www.mendeley.com/documents/?uuid=01050b12-209b-4ef7-b3e1-2f734a4779a3"]}],"mendeley":{"formattedCitation":"(Abdolahnejad et al., 2015)","plainTextFormattedCitation":"(Abdolahnejad et al., 2015)","previouslyFormattedCitation":"(Abdolahnejad et al. 2015)"},"properties":{"noteIndex":0},"schema":"https://github.com/citation-style-language/schema/raw/master/csl-citation.json"}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(Abdolahnejad </w:t>
      </w:r>
      <w:r w:rsidRPr="00B17142">
        <w:rPr>
          <w:rFonts w:ascii="Times New Roman" w:hAnsi="Times New Roman"/>
          <w:i/>
          <w:iCs/>
          <w:noProof/>
          <w:sz w:val="24"/>
          <w:szCs w:val="24"/>
        </w:rPr>
        <w:t>et al</w:t>
      </w:r>
      <w:r w:rsidRPr="00D826C8">
        <w:rPr>
          <w:rFonts w:ascii="Times New Roman" w:hAnsi="Times New Roman"/>
          <w:noProof/>
          <w:sz w:val="24"/>
          <w:szCs w:val="24"/>
        </w:rPr>
        <w:t>., 2015)</w:t>
      </w:r>
      <w:r w:rsidRPr="00D826C8">
        <w:rPr>
          <w:rFonts w:ascii="Times New Roman" w:hAnsi="Times New Roman"/>
          <w:sz w:val="24"/>
          <w:szCs w:val="24"/>
        </w:rPr>
        <w:fldChar w:fldCharType="end"/>
      </w:r>
      <w:r w:rsidRPr="00D826C8">
        <w:rPr>
          <w:rFonts w:ascii="Times New Roman" w:hAnsi="Times New Roman"/>
          <w:sz w:val="24"/>
          <w:szCs w:val="24"/>
        </w:rPr>
        <w:t>. Target genes used for semi-quantitative detection of GH genes can use higher molecular weights. Detection of GH genes in gurami (</w:t>
      </w:r>
      <w:proofErr w:type="spellStart"/>
      <w:r w:rsidRPr="00D826C8">
        <w:rPr>
          <w:rFonts w:ascii="Times New Roman" w:hAnsi="Times New Roman"/>
          <w:sz w:val="24"/>
          <w:szCs w:val="24"/>
        </w:rPr>
        <w:t>Og-mGH</w:t>
      </w:r>
      <w:proofErr w:type="spellEnd"/>
      <w:r w:rsidRPr="00D826C8">
        <w:rPr>
          <w:rFonts w:ascii="Times New Roman" w:hAnsi="Times New Roman"/>
          <w:sz w:val="24"/>
          <w:szCs w:val="24"/>
        </w:rPr>
        <w:t>), carp (Cc-</w:t>
      </w:r>
      <w:proofErr w:type="spellStart"/>
      <w:r w:rsidRPr="00D826C8">
        <w:rPr>
          <w:rFonts w:ascii="Times New Roman" w:hAnsi="Times New Roman"/>
          <w:sz w:val="24"/>
          <w:szCs w:val="24"/>
        </w:rPr>
        <w:t>mGH</w:t>
      </w:r>
      <w:proofErr w:type="spellEnd"/>
      <w:r w:rsidRPr="00D826C8">
        <w:rPr>
          <w:rFonts w:ascii="Times New Roman" w:hAnsi="Times New Roman"/>
          <w:sz w:val="24"/>
          <w:szCs w:val="24"/>
        </w:rPr>
        <w:t>), and giant grouper (El-</w:t>
      </w:r>
      <w:proofErr w:type="spellStart"/>
      <w:r w:rsidRPr="00D826C8">
        <w:rPr>
          <w:rFonts w:ascii="Times New Roman" w:hAnsi="Times New Roman"/>
          <w:sz w:val="24"/>
          <w:szCs w:val="24"/>
        </w:rPr>
        <w:t>mGH</w:t>
      </w:r>
      <w:proofErr w:type="spellEnd"/>
      <w:r w:rsidRPr="00D826C8">
        <w:rPr>
          <w:rFonts w:ascii="Times New Roman" w:hAnsi="Times New Roman"/>
          <w:sz w:val="24"/>
          <w:szCs w:val="24"/>
        </w:rPr>
        <w:t xml:space="preserve">) resulted in PCR products of target genes was 576 bp, 579 bp, and 576 bp, respectively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{"citationItems":[{"id":"ITEM-1","itemData":{"DOI":"10.15578/iaj.5.1.2010.11-17","ISSN":"0215-0883","abstract":"This study was aimed to produce recombinant growth hormone (rGH) from giant grouper (Epinephelus lanceolatus), giant gouramy (Osphronemus gouramy) and common carp (Cyprinus carpio) and compare their bioactivity potential by means of inducing the growth hormone of juvenile Nile tilapia (Oreochromis niloticus) as the model. DNA fragment encoding mature GH protein of giant grouper (El-mGH), giant gouramy (Og-mGH) and common carp (Cc-mGH) was amplified by PCR method. The purified PCR products were ligated to pCold-1 to generate pCold/El-mGH, pCold/OgmGH, and pCold/Cc-mGH protein expression vector, respectively. Each of the expression vectors was transformed into the Escherichia coli BL21. E. coli BL21 was cultured using 2xYT medium and protein production was induced by cold shock at 15±1oC for overnight. The inclusion bodies of E. coli transformants containing protein expression vector were isolated by sonication method, and rGH production was analyzed by SDS-PAGE. Juvenile of Nile tilapia of average body weight of 12.41±3.28 g was intramuscularly injected once a week for 4 weeks with 1 μg inclusion body containing rGH per gram fish body weight. The result showed that rGH in molecular weight of about 25 kDa was obtained. Fish injected with rGH of El-mGH, Cc-mGH and Og-mGH grew 20.94%, 18.09%, and 16.99% faster, respectively, compared with the control. This result indicated that the three rGH produced in E. coli possessed biological activity when tested on Nile tilapia and further research is needed to find its effect on the growth of other aquaculture fish species.","author":[{"dropping-particle":"","family":"Alimuddin","given":"","non-dropping-particle":"","parse-names":false,"suffix":""},{"dropping-particle":"","family":"Lesmana","given":"Indra","non-dropping-particle":"","parse-names":false,"suffix":""},{"dropping-particle":"","family":"Sudrajat","given":"Agus Oman","non-dropping-particle":"","parse-names":false,"suffix":""},{"dropping-particle":"","family":"Carman","given":"Odang","non-dropping-particle":"","parse-names":false,"suffix":""},{"dropping-particle":"","family":"Faizal","given":"Irvan","non-dropping-particle":"","parse-names":false,"suffix":""}],"container-title":"Indonesian Aquaculture Journal","id":"ITEM-1","issue":"1","issued":{"date-parts":[["2010"]]},"page":"11","title":"Production and Bioactivity Potential of Three Recombinant Growth Hormones of Farmed Fish","type":"article-journal","volume":"5"},"uris":["http://www.mendeley.com/documents/?uuid=030f7bcd-a7cd-470a-b327-4aefde020532"]}],"mendeley":{"formattedCitation":"(Alimuddin et al., 2010)","plainTextFormattedCitation":"(Alimuddin et al., 2010)","previouslyFormattedCitation":"(Alimuddin et al. 2010)"},"properties":{"noteIndex":0},"schema":"https://github.com/citation-style-language/schema/raw/master/csl-citation.json"}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(Alimuddin </w:t>
      </w:r>
      <w:r w:rsidRPr="00B17142">
        <w:rPr>
          <w:rFonts w:ascii="Times New Roman" w:hAnsi="Times New Roman"/>
          <w:i/>
          <w:iCs/>
          <w:noProof/>
          <w:sz w:val="24"/>
          <w:szCs w:val="24"/>
        </w:rPr>
        <w:t>et al</w:t>
      </w:r>
      <w:r w:rsidRPr="00D826C8">
        <w:rPr>
          <w:rFonts w:ascii="Times New Roman" w:hAnsi="Times New Roman"/>
          <w:noProof/>
          <w:sz w:val="24"/>
          <w:szCs w:val="24"/>
        </w:rPr>
        <w:t>., 2010)</w:t>
      </w:r>
      <w:r w:rsidRPr="00D826C8">
        <w:rPr>
          <w:rFonts w:ascii="Times New Roman" w:hAnsi="Times New Roman"/>
          <w:sz w:val="24"/>
          <w:szCs w:val="24"/>
        </w:rPr>
        <w:fldChar w:fldCharType="end"/>
      </w:r>
      <w:r w:rsidRPr="00D826C8">
        <w:rPr>
          <w:rFonts w:ascii="Times New Roman" w:hAnsi="Times New Roman"/>
          <w:sz w:val="24"/>
          <w:szCs w:val="24"/>
        </w:rPr>
        <w:t xml:space="preserve">. </w:t>
      </w:r>
      <w:r w:rsidR="00CC2953" w:rsidRPr="00D826C8">
        <w:rPr>
          <w:rFonts w:ascii="Times New Roman" w:hAnsi="Times New Roman"/>
          <w:sz w:val="24"/>
          <w:szCs w:val="24"/>
        </w:rPr>
        <w:t>In the results of the PCR product with a lower size of 148 bp, it is more appropriate to use as a marker using the real-time PCR method.</w:t>
      </w:r>
      <w:r w:rsidR="00CC2953">
        <w:rPr>
          <w:rFonts w:ascii="Times New Roman" w:hAnsi="Times New Roman"/>
          <w:sz w:val="24"/>
          <w:szCs w:val="24"/>
        </w:rPr>
        <w:t xml:space="preserve"> </w:t>
      </w:r>
      <w:r w:rsidRPr="00D826C8">
        <w:rPr>
          <w:rFonts w:ascii="Times New Roman" w:hAnsi="Times New Roman"/>
          <w:sz w:val="24"/>
          <w:szCs w:val="24"/>
        </w:rPr>
        <w:t xml:space="preserve">The PCR product with a size of 234 bp is a GH gene partially isolated from tiger shovelnose catfish. It also shows GH gene expression in tiger shovelnose catfish. </w:t>
      </w:r>
    </w:p>
    <w:p w14:paraId="68139491" w14:textId="25180BD8" w:rsidR="00D612CC" w:rsidRPr="00D826C8" w:rsidRDefault="00C73349" w:rsidP="00990E2D">
      <w:pPr>
        <w:spacing w:line="240" w:lineRule="auto"/>
        <w:ind w:firstLine="720"/>
        <w:jc w:val="both"/>
        <w:rPr>
          <w:rFonts w:ascii="Times New Roman" w:hAnsi="Times New Roman"/>
          <w:color w:val="FF0000"/>
          <w:sz w:val="24"/>
          <w:szCs w:val="24"/>
        </w:rPr>
      </w:pPr>
      <w:r>
        <w:rPr>
          <w:rFonts w:ascii="Times New Roman" w:hAnsi="Times New Roman"/>
          <w:sz w:val="24"/>
          <w:szCs w:val="24"/>
        </w:rPr>
        <w:t>Figure</w:t>
      </w:r>
      <w:r w:rsidR="00D612CC" w:rsidRPr="00D826C8">
        <w:rPr>
          <w:rFonts w:ascii="Times New Roman" w:hAnsi="Times New Roman"/>
          <w:sz w:val="24"/>
          <w:szCs w:val="24"/>
        </w:rPr>
        <w:t xml:space="preserve"> 3</w:t>
      </w:r>
      <w:r w:rsidR="0095520B" w:rsidRPr="00D826C8">
        <w:rPr>
          <w:rFonts w:ascii="Times New Roman" w:hAnsi="Times New Roman"/>
          <w:sz w:val="24"/>
          <w:szCs w:val="24"/>
        </w:rPr>
        <w:t>b</w:t>
      </w:r>
      <w:r w:rsidR="00D612CC" w:rsidRPr="00D826C8">
        <w:rPr>
          <w:rFonts w:ascii="Times New Roman" w:hAnsi="Times New Roman"/>
          <w:sz w:val="24"/>
          <w:szCs w:val="24"/>
        </w:rPr>
        <w:t>. shows</w:t>
      </w:r>
      <w:r w:rsidR="00D612CC" w:rsidRPr="00D826C8">
        <w:rPr>
          <w:rFonts w:ascii="Times New Roman" w:hAnsi="Times New Roman"/>
          <w:color w:val="FF0000"/>
          <w:sz w:val="24"/>
          <w:szCs w:val="24"/>
        </w:rPr>
        <w:t xml:space="preserve"> </w:t>
      </w:r>
      <w:r w:rsidR="00D612CC" w:rsidRPr="00D826C8">
        <w:rPr>
          <w:rFonts w:ascii="Times New Roman" w:hAnsi="Times New Roman"/>
          <w:sz w:val="24"/>
          <w:szCs w:val="24"/>
        </w:rPr>
        <w:t xml:space="preserve">the growth hormone (GH) gene of Tiger shovelnose catfish pituitary. The GH gene band was at 234 bp, which was in line with the positive control. This shows that the GH gene was isolated using degenerate primers, which have been designed from several fish belonging to the same order as Tiger shovelnose catfish. The PCR product shows a single and clear band. </w:t>
      </w:r>
      <w:r w:rsidR="009C32BB" w:rsidRPr="00D826C8">
        <w:rPr>
          <w:rFonts w:ascii="Times New Roman" w:hAnsi="Times New Roman"/>
          <w:sz w:val="24"/>
          <w:szCs w:val="24"/>
        </w:rPr>
        <w:t xml:space="preserve">According to </w:t>
      </w:r>
      <w:r w:rsidR="009C32BB" w:rsidRPr="00D826C8">
        <w:rPr>
          <w:rFonts w:ascii="Times New Roman" w:hAnsi="Times New Roman"/>
          <w:sz w:val="24"/>
          <w:szCs w:val="24"/>
        </w:rPr>
        <w:fldChar w:fldCharType="begin" w:fldLock="1"/>
      </w:r>
      <w:r w:rsidR="009C32BB">
        <w:rPr>
          <w:rFonts w:ascii="Times New Roman" w:hAnsi="Times New Roman"/>
          <w:sz w:val="24"/>
          <w:szCs w:val="24"/>
        </w:rPr>
        <w:instrText>ADDIN CSL_CITATION {"citationItems":[{"id":"ITEM-1","itemData":{"DOI":"10.1093/icb/26.4.939","ISSN":"15407063","abstract":"SYNOPSIS. Growth hormone, prolactin and chorionic somatomammotropin (placental lactogen) area family of hormones that are related by function, immunochemistry and structure. Because of the structural similarities between these hormones, it was proposed that the corresponding genes were derived from a common precursor gene by duplication and sequence divergence. Comparisons of the mRNA sequences and chromosomal genes for these hormones from several species provide additional support for the model of their common ancestry and indications of how the precursor genewas formed. The diversification of these three genes has involved changes in codon choices thataffect the overall G-C content of the genes, alterations in the sizes of introns with conservedexon-intron boundaries and concerted evolutionary mechanisms with duplicated growth hormone andhorionic somatomammotropin genes in humans. The precursor gene appears to have evolved by the fourfold duplication of one exon element and the separate insertion of an exon encoding a different protein domain. Finally, there also appears to have been the separate insertion of sequences containing a promoter element and a potential glucocorticoid regulatory element. © 1986 by the American Society of Zoologists.","author":[{"dropping-particle":"","family":"Slater","given":"Emily P.","non-dropping-particle":"","parse-names":false,"suffix":""},{"dropping-particle":"","family":"Baxter","given":"John D.","non-dropping-particle":"","parse-names":false,"suffix":""},{"dropping-particle":"","family":"Eberhardt","given":"Norman L.","non-dropping-particle":"","parse-names":false,"suffix":""}],"container-title":"Integrative and Comparative Biology","id":"ITEM-1","issue":"4","issued":{"date-parts":[["1986"]]},"page":"939-949","title":"Evolution of the growth hormone gene family","type":"article-journal","volume":"26"},"uris":["http://www.mendeley.com/documents/?uuid=31a3d4b1-2337-4181-bcf0-e842cb0fee68"]}],"mendeley":{"formattedCitation":"(Slater et al., 1986)","manualFormatting":"Slater et al. (1986)","plainTextFormattedCitation":"(Slater et al., 1986)","previouslyFormattedCitation":"(Slater, Baxter, and Eberhardt 1986)"},"properties":{"noteIndex":0},"schema":"https://github.com/citation-style-language/schema/raw/master/csl-citation.json"}</w:instrText>
      </w:r>
      <w:r w:rsidR="009C32BB" w:rsidRPr="00D826C8">
        <w:rPr>
          <w:rFonts w:ascii="Times New Roman" w:hAnsi="Times New Roman"/>
          <w:sz w:val="24"/>
          <w:szCs w:val="24"/>
        </w:rPr>
        <w:fldChar w:fldCharType="separate"/>
      </w:r>
      <w:r w:rsidR="009C32BB" w:rsidRPr="00D826C8">
        <w:rPr>
          <w:rFonts w:ascii="Times New Roman" w:hAnsi="Times New Roman"/>
          <w:noProof/>
          <w:sz w:val="24"/>
          <w:szCs w:val="24"/>
        </w:rPr>
        <w:t xml:space="preserve">Slater </w:t>
      </w:r>
      <w:r w:rsidR="009C32BB" w:rsidRPr="00B17142">
        <w:rPr>
          <w:rFonts w:ascii="Times New Roman" w:hAnsi="Times New Roman"/>
          <w:i/>
          <w:iCs/>
          <w:noProof/>
          <w:sz w:val="24"/>
          <w:szCs w:val="24"/>
        </w:rPr>
        <w:t>et al</w:t>
      </w:r>
      <w:r w:rsidR="009C32BB" w:rsidRPr="00D826C8">
        <w:rPr>
          <w:rFonts w:ascii="Times New Roman" w:hAnsi="Times New Roman"/>
          <w:noProof/>
          <w:sz w:val="24"/>
          <w:szCs w:val="24"/>
        </w:rPr>
        <w:t>. (1986)</w:t>
      </w:r>
      <w:r w:rsidR="009C32BB" w:rsidRPr="00D826C8">
        <w:rPr>
          <w:rFonts w:ascii="Times New Roman" w:hAnsi="Times New Roman"/>
          <w:sz w:val="24"/>
          <w:szCs w:val="24"/>
        </w:rPr>
        <w:fldChar w:fldCharType="end"/>
      </w:r>
      <w:r w:rsidR="009C32BB" w:rsidRPr="00D826C8">
        <w:rPr>
          <w:rFonts w:ascii="Times New Roman" w:hAnsi="Times New Roman"/>
          <w:sz w:val="24"/>
          <w:szCs w:val="24"/>
        </w:rPr>
        <w:t>, the fragments carried the important information not only for coding certain structural domains in hormones but also for controlling gene expression.</w:t>
      </w:r>
    </w:p>
    <w:p w14:paraId="4903BC83" w14:textId="34E1CEE3" w:rsidR="009C32BB" w:rsidRDefault="00C73349" w:rsidP="009C32BB">
      <w:pPr>
        <w:spacing w:line="240" w:lineRule="auto"/>
        <w:ind w:firstLine="720"/>
        <w:contextualSpacing/>
        <w:jc w:val="both"/>
        <w:rPr>
          <w:rFonts w:ascii="Times New Roman" w:hAnsi="Times New Roman"/>
          <w:color w:val="FF0000"/>
          <w:sz w:val="24"/>
          <w:szCs w:val="24"/>
        </w:rPr>
      </w:pPr>
      <w:r>
        <w:rPr>
          <w:rFonts w:ascii="Times New Roman" w:hAnsi="Times New Roman"/>
          <w:sz w:val="24"/>
          <w:szCs w:val="24"/>
        </w:rPr>
        <w:t>Figure</w:t>
      </w:r>
      <w:r w:rsidR="00D612CC" w:rsidRPr="00D826C8">
        <w:rPr>
          <w:rFonts w:ascii="Times New Roman" w:hAnsi="Times New Roman"/>
          <w:sz w:val="24"/>
          <w:szCs w:val="24"/>
        </w:rPr>
        <w:t xml:space="preserve"> 4. shows the chromatograms generated from the sequencing performed on the GH gene of the Tiger shovelnose catfish. The total length of the resulting sequence is 393 bp. The result GH target gene sequence of 234 bp was a blocked image. The resulting chromatogram shows a good quality because it has a high and single curve shape. However, one overlap occurs in area 244, namely between bases T and G, which was read as T. The Open Reading Frame of the GH gene sequence is shown in </w:t>
      </w:r>
      <w:r>
        <w:rPr>
          <w:rFonts w:ascii="Times New Roman" w:hAnsi="Times New Roman"/>
          <w:sz w:val="24"/>
          <w:szCs w:val="24"/>
        </w:rPr>
        <w:t>Figure</w:t>
      </w:r>
      <w:r w:rsidR="00D612CC" w:rsidRPr="00D826C8">
        <w:rPr>
          <w:rFonts w:ascii="Times New Roman" w:hAnsi="Times New Roman"/>
          <w:sz w:val="24"/>
          <w:szCs w:val="24"/>
        </w:rPr>
        <w:t xml:space="preserve"> 5. The initial sequence in the ORF shows the target GH gene starting with the R1 primer sequence consisting of 24 bases. The sequences were also translated into amino acids to produce 78 amino acid codes. Three of which are TGA sequences, stop codons (end) that are not translated into amino acids.</w:t>
      </w:r>
      <w:r w:rsidR="00D612CC" w:rsidRPr="00D826C8">
        <w:rPr>
          <w:rFonts w:ascii="Times New Roman" w:hAnsi="Times New Roman"/>
          <w:color w:val="FF0000"/>
          <w:sz w:val="24"/>
          <w:szCs w:val="24"/>
        </w:rPr>
        <w:t xml:space="preserve"> </w:t>
      </w:r>
      <w:r w:rsidR="00CC2953" w:rsidRPr="00D826C8">
        <w:rPr>
          <w:rFonts w:ascii="Times New Roman" w:hAnsi="Times New Roman"/>
          <w:sz w:val="24"/>
          <w:szCs w:val="24"/>
        </w:rPr>
        <w:t xml:space="preserve">The characteristics of the GH gene from various species have different </w:t>
      </w:r>
      <w:r w:rsidR="00CC2953" w:rsidRPr="00D826C8">
        <w:rPr>
          <w:rFonts w:ascii="Times New Roman" w:hAnsi="Times New Roman"/>
          <w:sz w:val="24"/>
          <w:szCs w:val="24"/>
        </w:rPr>
        <w:lastRenderedPageBreak/>
        <w:t xml:space="preserve">amino acid compositions produced. The growth hormone species </w:t>
      </w:r>
      <w:r w:rsidR="00CC2953" w:rsidRPr="00D826C8">
        <w:rPr>
          <w:rFonts w:ascii="Times New Roman" w:hAnsi="Times New Roman"/>
          <w:i/>
          <w:iCs/>
          <w:sz w:val="24"/>
          <w:szCs w:val="24"/>
        </w:rPr>
        <w:t xml:space="preserve">Pangasius </w:t>
      </w:r>
      <w:proofErr w:type="spellStart"/>
      <w:r w:rsidR="00CC2953" w:rsidRPr="00D826C8">
        <w:rPr>
          <w:rFonts w:ascii="Times New Roman" w:hAnsi="Times New Roman"/>
          <w:i/>
          <w:iCs/>
          <w:sz w:val="24"/>
          <w:szCs w:val="24"/>
        </w:rPr>
        <w:t>hypophthalamus</w:t>
      </w:r>
      <w:proofErr w:type="spellEnd"/>
      <w:r w:rsidR="00CC2953" w:rsidRPr="00D826C8">
        <w:rPr>
          <w:rFonts w:ascii="Times New Roman" w:hAnsi="Times New Roman"/>
          <w:sz w:val="24"/>
          <w:szCs w:val="24"/>
        </w:rPr>
        <w:t xml:space="preserve"> has about 200 amino acids with 20 types contained therein (</w:t>
      </w:r>
      <w:proofErr w:type="spellStart"/>
      <w:r w:rsidR="00CC2953" w:rsidRPr="00D826C8">
        <w:rPr>
          <w:rFonts w:ascii="Times New Roman" w:hAnsi="Times New Roman"/>
          <w:sz w:val="24"/>
          <w:szCs w:val="24"/>
        </w:rPr>
        <w:t>Dewi</w:t>
      </w:r>
      <w:proofErr w:type="spellEnd"/>
      <w:r w:rsidR="00CC2953" w:rsidRPr="00D826C8">
        <w:rPr>
          <w:rFonts w:ascii="Times New Roman" w:hAnsi="Times New Roman"/>
          <w:sz w:val="24"/>
          <w:szCs w:val="24"/>
        </w:rPr>
        <w:t xml:space="preserve"> </w:t>
      </w:r>
      <w:r w:rsidR="00CC2953" w:rsidRPr="00B17142">
        <w:rPr>
          <w:rFonts w:ascii="Times New Roman" w:hAnsi="Times New Roman"/>
          <w:i/>
          <w:iCs/>
          <w:sz w:val="24"/>
          <w:szCs w:val="24"/>
        </w:rPr>
        <w:t>et al</w:t>
      </w:r>
      <w:r w:rsidR="00CC2953" w:rsidRPr="00D826C8">
        <w:rPr>
          <w:rFonts w:ascii="Times New Roman" w:hAnsi="Times New Roman"/>
          <w:sz w:val="24"/>
          <w:szCs w:val="24"/>
        </w:rPr>
        <w:t>., 2009).</w:t>
      </w:r>
    </w:p>
    <w:p w14:paraId="37F50E04" w14:textId="071EBD6D" w:rsidR="0010050C" w:rsidRPr="00D826C8" w:rsidRDefault="0010050C" w:rsidP="00930F58">
      <w:pPr>
        <w:pStyle w:val="ListParagraph"/>
        <w:spacing w:line="240" w:lineRule="auto"/>
        <w:ind w:left="0"/>
        <w:jc w:val="center"/>
        <w:rPr>
          <w:rFonts w:ascii="Times New Roman" w:hAnsi="Times New Roman"/>
          <w:b/>
          <w:bCs/>
          <w:sz w:val="24"/>
          <w:szCs w:val="24"/>
        </w:rPr>
      </w:pPr>
      <w:r w:rsidRPr="00D826C8">
        <w:rPr>
          <w:rFonts w:ascii="Times New Roman" w:hAnsi="Times New Roman"/>
          <w:noProof/>
          <w:sz w:val="24"/>
          <w:szCs w:val="24"/>
        </w:rPr>
        <w:drawing>
          <wp:inline distT="0" distB="0" distL="0" distR="0" wp14:anchorId="41BAD7C9" wp14:editId="1E145D74">
            <wp:extent cx="5309479" cy="226060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7807" cy="2264146"/>
                    </a:xfrm>
                    <a:prstGeom prst="rect">
                      <a:avLst/>
                    </a:prstGeom>
                    <a:noFill/>
                    <a:ln>
                      <a:noFill/>
                    </a:ln>
                  </pic:spPr>
                </pic:pic>
              </a:graphicData>
            </a:graphic>
          </wp:inline>
        </w:drawing>
      </w:r>
    </w:p>
    <w:p w14:paraId="770F5671" w14:textId="68672D9F" w:rsidR="00865AAF" w:rsidRPr="00D826C8" w:rsidRDefault="00C51DE7" w:rsidP="001B3FA5">
      <w:pPr>
        <w:spacing w:line="240" w:lineRule="auto"/>
        <w:ind w:left="993" w:hanging="993"/>
        <w:jc w:val="both"/>
        <w:rPr>
          <w:rFonts w:ascii="Times New Roman" w:hAnsi="Times New Roman"/>
          <w:sz w:val="24"/>
          <w:szCs w:val="24"/>
        </w:rPr>
      </w:pPr>
      <w:r w:rsidRPr="00D826C8">
        <w:rPr>
          <w:rFonts w:ascii="Times New Roman" w:hAnsi="Times New Roman"/>
          <w:sz w:val="24"/>
          <w:szCs w:val="24"/>
        </w:rPr>
        <w:t>Fig</w:t>
      </w:r>
      <w:r w:rsidR="001B3FA5">
        <w:rPr>
          <w:rFonts w:ascii="Times New Roman" w:hAnsi="Times New Roman"/>
          <w:sz w:val="24"/>
          <w:szCs w:val="24"/>
        </w:rPr>
        <w:t>ure</w:t>
      </w:r>
      <w:r w:rsidR="0010050C" w:rsidRPr="00D826C8">
        <w:rPr>
          <w:rFonts w:ascii="Times New Roman" w:hAnsi="Times New Roman"/>
          <w:sz w:val="24"/>
          <w:szCs w:val="24"/>
        </w:rPr>
        <w:t xml:space="preserve"> 4. Chromatogram of GH gene sequencing of Tiger shovelnose catfish</w:t>
      </w:r>
      <w:r w:rsidR="0010050C" w:rsidRPr="00D826C8">
        <w:rPr>
          <w:rFonts w:ascii="Times New Roman" w:hAnsi="Times New Roman"/>
          <w:i/>
          <w:iCs/>
          <w:sz w:val="24"/>
          <w:szCs w:val="24"/>
        </w:rPr>
        <w:t xml:space="preserve"> </w:t>
      </w:r>
      <w:r w:rsidR="00865AAF" w:rsidRPr="00D826C8">
        <w:rPr>
          <w:rFonts w:ascii="Times New Roman" w:hAnsi="Times New Roman"/>
          <w:sz w:val="24"/>
          <w:szCs w:val="24"/>
        </w:rPr>
        <w:t>(</w:t>
      </w:r>
      <w:proofErr w:type="spellStart"/>
      <w:r w:rsidR="00865AAF" w:rsidRPr="00D826C8">
        <w:rPr>
          <w:rFonts w:ascii="Times New Roman" w:hAnsi="Times New Roman"/>
          <w:i/>
          <w:iCs/>
          <w:sz w:val="24"/>
          <w:szCs w:val="24"/>
        </w:rPr>
        <w:t>Pseudoplatystoma</w:t>
      </w:r>
      <w:proofErr w:type="spellEnd"/>
      <w:r w:rsidR="00865AAF" w:rsidRPr="00D826C8">
        <w:rPr>
          <w:rFonts w:ascii="Times New Roman" w:hAnsi="Times New Roman"/>
          <w:i/>
          <w:iCs/>
          <w:sz w:val="24"/>
          <w:szCs w:val="24"/>
        </w:rPr>
        <w:t xml:space="preserve"> </w:t>
      </w:r>
      <w:proofErr w:type="spellStart"/>
      <w:r w:rsidR="00865AAF" w:rsidRPr="00D826C8">
        <w:rPr>
          <w:rFonts w:ascii="Times New Roman" w:hAnsi="Times New Roman"/>
          <w:i/>
          <w:iCs/>
          <w:sz w:val="24"/>
          <w:szCs w:val="24"/>
        </w:rPr>
        <w:t>fasciatum</w:t>
      </w:r>
      <w:proofErr w:type="spellEnd"/>
      <w:r w:rsidR="00865AAF" w:rsidRPr="00D826C8">
        <w:rPr>
          <w:rFonts w:ascii="Times New Roman" w:hAnsi="Times New Roman"/>
          <w:sz w:val="24"/>
          <w:szCs w:val="24"/>
        </w:rPr>
        <w:t xml:space="preserve"> Linnaeus, 1766).</w:t>
      </w:r>
    </w:p>
    <w:p w14:paraId="19F64FF9" w14:textId="0BE20642" w:rsidR="000F4F26" w:rsidRPr="00D826C8" w:rsidRDefault="000F4F26" w:rsidP="00F4256B">
      <w:pPr>
        <w:spacing w:line="240" w:lineRule="auto"/>
        <w:ind w:left="993" w:hanging="993"/>
        <w:jc w:val="center"/>
        <w:rPr>
          <w:rFonts w:ascii="Times New Roman" w:hAnsi="Times New Roman"/>
          <w:b/>
          <w:bCs/>
          <w:sz w:val="24"/>
          <w:szCs w:val="24"/>
        </w:rPr>
      </w:pPr>
      <w:r w:rsidRPr="00D826C8">
        <w:rPr>
          <w:rFonts w:ascii="Times New Roman" w:hAnsi="Times New Roman"/>
          <w:noProof/>
          <w:sz w:val="24"/>
          <w:szCs w:val="24"/>
        </w:rPr>
        <w:drawing>
          <wp:inline distT="0" distB="0" distL="0" distR="0" wp14:anchorId="723FF065" wp14:editId="7BBEFA39">
            <wp:extent cx="4660900" cy="2318281"/>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1799" cy="2323702"/>
                    </a:xfrm>
                    <a:prstGeom prst="rect">
                      <a:avLst/>
                    </a:prstGeom>
                    <a:noFill/>
                    <a:ln>
                      <a:noFill/>
                    </a:ln>
                  </pic:spPr>
                </pic:pic>
              </a:graphicData>
            </a:graphic>
          </wp:inline>
        </w:drawing>
      </w:r>
    </w:p>
    <w:p w14:paraId="1966D1E9" w14:textId="65CCDDAC" w:rsidR="000F4F26" w:rsidRDefault="00C51DE7" w:rsidP="001533D6">
      <w:pPr>
        <w:spacing w:line="240" w:lineRule="auto"/>
        <w:ind w:left="993" w:hanging="993"/>
        <w:jc w:val="both"/>
        <w:rPr>
          <w:rFonts w:ascii="Times New Roman" w:hAnsi="Times New Roman"/>
          <w:sz w:val="24"/>
          <w:szCs w:val="24"/>
        </w:rPr>
      </w:pPr>
      <w:r w:rsidRPr="00D826C8">
        <w:rPr>
          <w:rFonts w:ascii="Times New Roman" w:hAnsi="Times New Roman"/>
          <w:sz w:val="24"/>
          <w:szCs w:val="24"/>
        </w:rPr>
        <w:t>Fig</w:t>
      </w:r>
      <w:r w:rsidR="001B3FA5">
        <w:rPr>
          <w:rFonts w:ascii="Times New Roman" w:hAnsi="Times New Roman"/>
          <w:sz w:val="24"/>
          <w:szCs w:val="24"/>
        </w:rPr>
        <w:t>ure</w:t>
      </w:r>
      <w:r w:rsidR="000F4F26" w:rsidRPr="00D826C8">
        <w:rPr>
          <w:rFonts w:ascii="Times New Roman" w:hAnsi="Times New Roman"/>
          <w:sz w:val="24"/>
          <w:szCs w:val="24"/>
        </w:rPr>
        <w:t xml:space="preserve"> 5. Open Reading Frame (ORF) sequence and amino acid of a GH gene encoding isolated from Tiger shovelnose catfish. (Note: Bold: R1 primer sequence, box = start codon, circle = stop codon, A= adenine, G= guanine, T= thymine, C= cytosine). </w:t>
      </w:r>
    </w:p>
    <w:p w14:paraId="22106F04" w14:textId="3766BD06" w:rsidR="00F67774" w:rsidRPr="00D826C8" w:rsidRDefault="00F67774" w:rsidP="00F67774">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t>However, the GH gene that was partially isolated in Tiger Shovelnose Catfish produced only 75 amino acids (</w:t>
      </w:r>
      <w:r w:rsidR="00C73349">
        <w:rPr>
          <w:rFonts w:ascii="Times New Roman" w:hAnsi="Times New Roman"/>
          <w:sz w:val="24"/>
          <w:szCs w:val="24"/>
        </w:rPr>
        <w:t>Figure</w:t>
      </w:r>
      <w:r w:rsidRPr="00D826C8">
        <w:rPr>
          <w:rFonts w:ascii="Times New Roman" w:hAnsi="Times New Roman"/>
          <w:sz w:val="24"/>
          <w:szCs w:val="24"/>
        </w:rPr>
        <w:t xml:space="preserve"> 5.), consisting of 17 types of amino acids in it (</w:t>
      </w:r>
      <w:r w:rsidR="00C73349">
        <w:rPr>
          <w:rFonts w:ascii="Times New Roman" w:hAnsi="Times New Roman"/>
          <w:sz w:val="24"/>
          <w:szCs w:val="24"/>
        </w:rPr>
        <w:t>Figure</w:t>
      </w:r>
      <w:r w:rsidRPr="00D826C8">
        <w:rPr>
          <w:rFonts w:ascii="Times New Roman" w:hAnsi="Times New Roman"/>
          <w:sz w:val="24"/>
          <w:szCs w:val="24"/>
        </w:rPr>
        <w:t xml:space="preserve"> 6). Although 234 nucleotides were initially supposed to be translated into 78 amino acids, three of them could not be translated into amino acids because they were TAG sequences. The TAG sequence was a stop codon (end), so it was not translated into amino acids but served as a signal sequence for the last translational activity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hypophthalmus","type":"article-journal","volume":"4"},"uris":["http://www.mendeley.com/documents/?uuid=ad6a61d6-73ba-48d3-9399-54bda6766dc9"]}],"mendeley":{"formattedCitation":"(Dewi et al., 2009)","plainTextFormattedCitation":"(Dewi et al., 2009)","previouslyFormattedCitation":"(Dewi et al. 2009)"},"properties":{"noteIndex":0},"schema":"https://github.com/citation-style-language/schema/raw/master/csl-citation.json"}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(Dewi </w:t>
      </w:r>
      <w:r w:rsidRPr="00B17142">
        <w:rPr>
          <w:rFonts w:ascii="Times New Roman" w:hAnsi="Times New Roman"/>
          <w:i/>
          <w:iCs/>
          <w:noProof/>
          <w:sz w:val="24"/>
          <w:szCs w:val="24"/>
        </w:rPr>
        <w:t>et al</w:t>
      </w:r>
      <w:r w:rsidRPr="00D826C8">
        <w:rPr>
          <w:rFonts w:ascii="Times New Roman" w:hAnsi="Times New Roman"/>
          <w:noProof/>
          <w:sz w:val="24"/>
          <w:szCs w:val="24"/>
        </w:rPr>
        <w:t>., 2009)</w:t>
      </w:r>
      <w:r w:rsidRPr="00D826C8">
        <w:rPr>
          <w:rFonts w:ascii="Times New Roman" w:hAnsi="Times New Roman"/>
          <w:sz w:val="24"/>
          <w:szCs w:val="24"/>
        </w:rPr>
        <w:fldChar w:fldCharType="end"/>
      </w:r>
      <w:r w:rsidRPr="00D826C8">
        <w:rPr>
          <w:rFonts w:ascii="Times New Roman" w:hAnsi="Times New Roman"/>
          <w:sz w:val="24"/>
          <w:szCs w:val="24"/>
        </w:rPr>
        <w:t xml:space="preserve">. GH genes between fish species have different lengths. The length of the GH gene in </w:t>
      </w:r>
      <w:proofErr w:type="spellStart"/>
      <w:r w:rsidRPr="00D826C8">
        <w:rPr>
          <w:rFonts w:ascii="Times New Roman" w:hAnsi="Times New Roman"/>
          <w:i/>
          <w:iCs/>
          <w:sz w:val="24"/>
          <w:szCs w:val="24"/>
        </w:rPr>
        <w:t>Pangasionodon</w:t>
      </w:r>
      <w:proofErr w:type="spellEnd"/>
      <w:r w:rsidRPr="00D826C8">
        <w:rPr>
          <w:rFonts w:ascii="Times New Roman" w:hAnsi="Times New Roman"/>
          <w:i/>
          <w:iCs/>
          <w:sz w:val="24"/>
          <w:szCs w:val="24"/>
        </w:rPr>
        <w:t xml:space="preserve"> gigas</w:t>
      </w:r>
      <w:r w:rsidRPr="00D826C8">
        <w:rPr>
          <w:rFonts w:ascii="Times New Roman" w:hAnsi="Times New Roman"/>
          <w:sz w:val="24"/>
          <w:szCs w:val="24"/>
        </w:rPr>
        <w:t xml:space="preserve"> was 1.176 bp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{"citationItems":[{"id":"ITEM-1","itemData":{"DOI":"10.1016/0378-1119(94)90160-0","ISSN":"0378-1119","abstract":"cDNA clones encoding giant catfish (Pangasianodon gigas) growth hormone (GH) have been isolated using a polymerase chain reaction (PCR) strategy. Pairwise combinations of degenerate and general primers allowed for the amplification of regions both 3′ and 5′ to the point of entry into the message. The amplified PCR products were cloned and sequenced. The cDNA sequence was found to encode a polypeptide of 200 amino acids (aa), including a putative signal peptide of 22 aa. The 5′ and 3′ untranslated regions of the message are 58 and 515 nucleotides long, respectively. The giant catfish GH displays the highest aa sequence homology with the carp GH, with 80% of sequence identity. Moreover, giant catfish GH has structural features in common with both mammalian and avian GH polypeptides, and also contains the domains of conserved sequence found in other GH.","author":[{"dropping-particle":"","family":"Lemaire","given":"Catherine","non-dropping-particle":"","parse-names":false,"suffix":""},{"dropping-particle":"","family":"Warit","given":"Saradee","non-dropping-particle":"","parse-names":false,"suffix":""},{"dropping-particle":"","family":"Panyim","given":"Sakol","non-dropping-particle":"","parse-names":false,"suffix":""}],"container-title":"Gene","id":"ITEM-1","issue":"2","issued":{"date-parts":[["1994"]]},"page":"271-276","publisher":"Elsevier Science","title":"Giant catfish Pangasianodon gigas growth hormone-encoding cDNA: cloning and sequencing by one-sided polymerase chain reaction","type":"article-journal","volume":"149"},"uris":["http://www.mendeley.com/documents/?uuid=115112d7-6792-4498-bb14-bca778692db7"]}],"mendeley":{"formattedCitation":"(Lemaire et al., 1994)","plainTextFormattedCitation":"(Lemaire et al., 1994)","previouslyFormattedCitation":"(Lemaire, Warit, and Panyim 1994)"},"properties":{"noteIndex":0},"schema":"https://github.com/citation-style-language/schema/raw/master/csl-citation.json"}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(Lemaire </w:t>
      </w:r>
      <w:r w:rsidRPr="00B17142">
        <w:rPr>
          <w:rFonts w:ascii="Times New Roman" w:hAnsi="Times New Roman"/>
          <w:i/>
          <w:iCs/>
          <w:noProof/>
          <w:sz w:val="24"/>
          <w:szCs w:val="24"/>
        </w:rPr>
        <w:t>et al</w:t>
      </w:r>
      <w:r w:rsidRPr="00D826C8">
        <w:rPr>
          <w:rFonts w:ascii="Times New Roman" w:hAnsi="Times New Roman"/>
          <w:noProof/>
          <w:sz w:val="24"/>
          <w:szCs w:val="24"/>
        </w:rPr>
        <w:t>., 1994)</w:t>
      </w:r>
      <w:r w:rsidRPr="00D826C8">
        <w:rPr>
          <w:rFonts w:ascii="Times New Roman" w:hAnsi="Times New Roman"/>
          <w:sz w:val="24"/>
          <w:szCs w:val="24"/>
        </w:rPr>
        <w:fldChar w:fldCharType="end"/>
      </w:r>
      <w:r w:rsidRPr="00D826C8">
        <w:rPr>
          <w:rFonts w:ascii="Times New Roman" w:hAnsi="Times New Roman"/>
          <w:sz w:val="24"/>
          <w:szCs w:val="24"/>
        </w:rPr>
        <w:t xml:space="preserve">; while in </w:t>
      </w:r>
      <w:proofErr w:type="spellStart"/>
      <w:r w:rsidRPr="00D826C8">
        <w:rPr>
          <w:rFonts w:ascii="Times New Roman" w:hAnsi="Times New Roman"/>
          <w:i/>
          <w:iCs/>
          <w:sz w:val="24"/>
          <w:szCs w:val="24"/>
        </w:rPr>
        <w:t>Pangasionodon</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hypophthalmus</w:t>
      </w:r>
      <w:proofErr w:type="spellEnd"/>
      <w:r w:rsidRPr="00D826C8">
        <w:rPr>
          <w:rFonts w:ascii="Times New Roman" w:hAnsi="Times New Roman"/>
          <w:i/>
          <w:iCs/>
          <w:sz w:val="24"/>
          <w:szCs w:val="24"/>
        </w:rPr>
        <w:t>,</w:t>
      </w:r>
      <w:r w:rsidRPr="00D826C8">
        <w:rPr>
          <w:rFonts w:ascii="Times New Roman" w:hAnsi="Times New Roman"/>
          <w:sz w:val="24"/>
          <w:szCs w:val="24"/>
        </w:rPr>
        <w:t xml:space="preserve"> it was 1.151 bp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hypophthalmus","type":"article-journal","volume":"4"},"uris":["http://www.mendeley.com/documents/?uuid=ad6a61d6-73ba-48d3-9399-54bda6766dc9"]}],"mendeley":{"formattedCitation":"(Dewi et al., 2009)","plainTextFormattedCitation":"(Dewi et al., 2009)","previouslyFormattedCitation":"(Dewi et al. 2009)"},"properties":{"noteIndex":0},"schema":"https://github.com/citation-style-language/schema/raw/master/csl-citation.json"}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(Dewi </w:t>
      </w:r>
      <w:r w:rsidRPr="00B17142">
        <w:rPr>
          <w:rFonts w:ascii="Times New Roman" w:hAnsi="Times New Roman"/>
          <w:i/>
          <w:iCs/>
          <w:noProof/>
          <w:sz w:val="24"/>
          <w:szCs w:val="24"/>
        </w:rPr>
        <w:t>et al</w:t>
      </w:r>
      <w:r w:rsidRPr="00D826C8">
        <w:rPr>
          <w:rFonts w:ascii="Times New Roman" w:hAnsi="Times New Roman"/>
          <w:noProof/>
          <w:sz w:val="24"/>
          <w:szCs w:val="24"/>
        </w:rPr>
        <w:t>., 2009)</w:t>
      </w:r>
      <w:r w:rsidRPr="00D826C8">
        <w:rPr>
          <w:rFonts w:ascii="Times New Roman" w:hAnsi="Times New Roman"/>
          <w:sz w:val="24"/>
          <w:szCs w:val="24"/>
        </w:rPr>
        <w:fldChar w:fldCharType="end"/>
      </w:r>
      <w:r w:rsidRPr="00D826C8">
        <w:rPr>
          <w:rFonts w:ascii="Times New Roman" w:hAnsi="Times New Roman"/>
          <w:sz w:val="24"/>
          <w:szCs w:val="24"/>
        </w:rPr>
        <w:t>. The GH gene in yellow catfish (</w:t>
      </w:r>
      <w:proofErr w:type="spellStart"/>
      <w:r w:rsidRPr="00D826C8">
        <w:rPr>
          <w:rFonts w:ascii="Times New Roman" w:hAnsi="Times New Roman"/>
          <w:i/>
          <w:iCs/>
          <w:sz w:val="24"/>
          <w:szCs w:val="24"/>
        </w:rPr>
        <w:t>Pelteobagrus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lastRenderedPageBreak/>
        <w:t>fulvidraco</w:t>
      </w:r>
      <w:proofErr w:type="spellEnd"/>
      <w:r w:rsidRPr="00D826C8">
        <w:rPr>
          <w:rFonts w:ascii="Times New Roman" w:hAnsi="Times New Roman"/>
          <w:sz w:val="24"/>
          <w:szCs w:val="24"/>
        </w:rPr>
        <w:t xml:space="preserve">) has 615 bp ORF translated into a polypeptide amino acid code to 204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aqrep.2021.100640","ISSN":"2352-5134","author":[{"dropping-particle":"","family":"Tang","given":"Xin-hui","non-dropping-particle":"","parse-names":false,"suffix":""},{"dropping-particle":"","family":"Ye","given":"Xiao-ting","non-dropping-particle":"","parse-names":false,"suffix":""},{"dropping-particle":"","family":"Wu","given":"Qi-cheng","non-dropping-particle":"","parse-names":false,"suffix":""},{"dropping-particle":"","family":"Tang","given":"Ying-yu","non-dropping-particle":"","parse-names":false,"suffix":""},{"dropping-particle":"","family":"Zhang","given":"Dai-zhen","non-dropping-particle":"","parse-names":false,"suffix":""}],"container-title":"Aquaculture Reports","id":"ITEM-1","issue":"February","issued":{"date-parts":[["2021"]]},"page":"100640","publisher":"Elsevier B.V.","title":"Molecular characterization and expression analysis of a novel C-type lectin ( CTL ) gene in yellow catfish Pelteobagrus fulvidraco","type":"article-journal","volume":"20"},"uris":["http://www.mendeley.com/documents/?uuid=380a9df3-e6f2-43cc-a3a3-1ba366a98a4f"]}],"mendeley":{"formattedCitation":"(Tang et al., 2021)","plainTextFormattedCitation":"(Tang et al., 2021)","previouslyFormattedCitation":"(Tang et al. 2021)"},"properties":{"noteIndex":0},"schema":"https://github.com/citation-style-language/schema/raw/master/csl-citation.json"}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(Tang </w:t>
      </w:r>
      <w:r w:rsidRPr="00B17142">
        <w:rPr>
          <w:rFonts w:ascii="Times New Roman" w:hAnsi="Times New Roman"/>
          <w:i/>
          <w:iCs/>
          <w:noProof/>
          <w:sz w:val="24"/>
          <w:szCs w:val="24"/>
        </w:rPr>
        <w:t>et al</w:t>
      </w:r>
      <w:r w:rsidRPr="00D826C8">
        <w:rPr>
          <w:rFonts w:ascii="Times New Roman" w:hAnsi="Times New Roman"/>
          <w:noProof/>
          <w:sz w:val="24"/>
          <w:szCs w:val="24"/>
        </w:rPr>
        <w:t>., 2021)</w:t>
      </w:r>
      <w:r w:rsidRPr="00D826C8">
        <w:rPr>
          <w:rFonts w:ascii="Times New Roman" w:hAnsi="Times New Roman"/>
          <w:sz w:val="24"/>
          <w:szCs w:val="24"/>
        </w:rPr>
        <w:fldChar w:fldCharType="end"/>
      </w:r>
      <w:r w:rsidRPr="00D826C8">
        <w:rPr>
          <w:rFonts w:ascii="Times New Roman" w:hAnsi="Times New Roman"/>
          <w:sz w:val="24"/>
          <w:szCs w:val="24"/>
        </w:rPr>
        <w:t>. Tiger shovelnose catfish GH gene has 17 types of amino acids in it. GH grouper duck (</w:t>
      </w:r>
      <w:proofErr w:type="spellStart"/>
      <w:r w:rsidRPr="00D826C8">
        <w:rPr>
          <w:rFonts w:ascii="Times New Roman" w:hAnsi="Times New Roman"/>
          <w:i/>
          <w:iCs/>
          <w:sz w:val="24"/>
          <w:szCs w:val="24"/>
        </w:rPr>
        <w:t>Cromileptes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altivelis</w:t>
      </w:r>
      <w:proofErr w:type="spellEnd"/>
      <w:r w:rsidRPr="00D826C8">
        <w:rPr>
          <w:rFonts w:ascii="Times New Roman" w:hAnsi="Times New Roman"/>
          <w:sz w:val="24"/>
          <w:szCs w:val="24"/>
        </w:rPr>
        <w:t xml:space="preserve">) has 618 bp of GH gene sequence translated into amino acids into 205 amino acid codes consisting of 20 types of amino acids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{"citationItems":[{"id":"ITEM-1","itemData":{"DOI":"https://doi.org/10.11598/btb.2007.14.2.14","abstract":"Growth hormone (GH) that plays an important role in growth, reproduction, seawater adaptation, and immune function was isolated and sequenced from humpback grouper, Cromileptes altivelis. The cDNA was isolated from pituitary using RT-PCR. The 618 bp open reading frame encodes a 205 amino acid (aa) protein, which represents an 18 aa signal peptide followed by a 187 aa mature GH polypeptide. The fragment contained conserved domain of somatotropinâ€“1, somatotropinâ€“2, casein kinase II phosphorylation, protein kinase C phosphorylation, Nâ€“myristoylation and Nâ€“glycosilation. The similarity of deduced protein of humpback grouper GH was 65.0 - 89.5% with other fishes","author":[{"dropping-particle":"","family":"Syarifudin","given":"M.","non-dropping-particle":"","parse-names":false,"suffix":""},{"dropping-particle":"","family":"Alimuddin","given":"","non-dropping-particle":"","parse-names":false,"suffix":""},{"dropping-particle":"","family":"Widyastuti","given":"U.","non-dropping-particle":"","parse-names":false,"suffix":""},{"dropping-particle":"","family":"Aliah","given":"Ratu Siti","non-dropping-particle":"","parse-names":false,"suffix":""}],"container-title":"Biotropia","id":"ITEM-1","issue":"2","issued":{"date-parts":[["2007"]]},"page":"1-8","title":"cDNA encoding growth hormone from humpbac grouper (Cromileptes altivelis)","type":"article-journal","volume":"14"},"uris":["http://www.mendeley.com/documents/?uuid=e92cce5e-ea7a-4ac4-874a-de2bbd048f20"]}],"mendeley":{"formattedCitation":"(Syarifudin et al., 2007)","plainTextFormattedCitation":"(Syarifudin et al., 2007)","previouslyFormattedCitation":"(Syarifudin et al. 2007)"},"properties":{"noteIndex":0},"schema":"https://github.com/citation-style-language/schema/raw/master/csl-citation.json"}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(Syarifudin </w:t>
      </w:r>
      <w:r w:rsidRPr="00B17142">
        <w:rPr>
          <w:rFonts w:ascii="Times New Roman" w:hAnsi="Times New Roman"/>
          <w:i/>
          <w:iCs/>
          <w:noProof/>
          <w:sz w:val="24"/>
          <w:szCs w:val="24"/>
        </w:rPr>
        <w:t>et al</w:t>
      </w:r>
      <w:r w:rsidRPr="00D826C8">
        <w:rPr>
          <w:rFonts w:ascii="Times New Roman" w:hAnsi="Times New Roman"/>
          <w:noProof/>
          <w:sz w:val="24"/>
          <w:szCs w:val="24"/>
        </w:rPr>
        <w:t>., 2007)</w:t>
      </w:r>
      <w:r w:rsidRPr="00D826C8">
        <w:rPr>
          <w:rFonts w:ascii="Times New Roman" w:hAnsi="Times New Roman"/>
          <w:sz w:val="24"/>
          <w:szCs w:val="24"/>
        </w:rPr>
        <w:fldChar w:fldCharType="end"/>
      </w:r>
      <w:r w:rsidRPr="00D826C8">
        <w:rPr>
          <w:rFonts w:ascii="Times New Roman" w:hAnsi="Times New Roman"/>
          <w:sz w:val="24"/>
          <w:szCs w:val="24"/>
        </w:rPr>
        <w:t xml:space="preserve">. The composition of amino acids in Tiger shovelnose catfish was than giant grouper and striped catfish with 20 types of amino acids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hypophthalmus","type":"article-journal","volume":"4"},"uris":["http://www.mendeley.com/documents/?uuid=ad6a61d6-73ba-48d3-9399-54bda6766dc9"]},{"id":"ITEM-2","itemData":{"DOI":"https://doi.org/10.11598/btb.2007.14.2.14","abstract":"Growth hormone (GH) that plays an important role in growth, reproduction, seawater adaptation, and immune function was isolated and sequenced from humpback grouper, Cromileptes altivelis. The cDNA was isolated from pituitary using RT-PCR. The 618 bp open reading frame encodes a 205 amino acid (aa) protein, which represents an 18 aa signal peptide followed by a 187 aa mature GH polypeptide. The fragment contained conserved domain of somatotropinâ€“1, somatotropinâ€“2, casein kinase II phosphorylation, protein kinase C phosphorylation, Nâ€“myristoylation and Nâ€“glycosilation. The similarity of deduced protein of humpback grouper GH was 65.0 - 89.5% with other fishes","author":[{"dropping-particle":"","family":"Syarifudin","given":"M.","non-dropping-particle":"","parse-names":false,"suffix":""},{"dropping-particle":"","family":"Alimuddin","given":"","non-dropping-particle":"","parse-names":false,"suffix":""},{"dropping-particle":"","family":"Widyastuti","given":"U.","non-dropping-particle":"","parse-names":false,"suffix":""},{"dropping-particle":"","family":"Aliah","given":"Ratu Siti","non-dropping-particle":"","parse-names":false,"suffix":""}],"container-title":"Biotropia","id":"ITEM-2","issue":"2","issued":{"date-parts":[["2007"]]},"page":"1-8","title":"cDNA encoding growth hormone from humpbac grouper (Cromileptes altivelis)","type":"article-journal","volume":"14"},"uris":["http://www.mendeley.com/documents/?uuid=e92cce5e-ea7a-4ac4-874a-de2bbd048f20"]}],"mendeley":{"formattedCitation":"(Dewi et al., 2009; Syarifudin et al., 2007)","plainTextFormattedCitation":"(Dewi et al., 2009; Syarifudin et al., 2007)","previouslyFormattedCitation":"(Dewi et al. 2009; Syarifudin et al. 2007)"},"properties":{"noteIndex":0},"schema":"https://github.com/citation-style-language/schema/raw/master/csl-citation.json"}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(Dewi </w:t>
      </w:r>
      <w:r w:rsidRPr="00B17142">
        <w:rPr>
          <w:rFonts w:ascii="Times New Roman" w:hAnsi="Times New Roman"/>
          <w:i/>
          <w:iCs/>
          <w:noProof/>
          <w:sz w:val="24"/>
          <w:szCs w:val="24"/>
        </w:rPr>
        <w:t>et al</w:t>
      </w:r>
      <w:r w:rsidRPr="00D826C8">
        <w:rPr>
          <w:rFonts w:ascii="Times New Roman" w:hAnsi="Times New Roman"/>
          <w:noProof/>
          <w:sz w:val="24"/>
          <w:szCs w:val="24"/>
        </w:rPr>
        <w:t xml:space="preserve">., 2009; Syarifudin </w:t>
      </w:r>
      <w:r w:rsidRPr="00B17142">
        <w:rPr>
          <w:rFonts w:ascii="Times New Roman" w:hAnsi="Times New Roman"/>
          <w:i/>
          <w:iCs/>
          <w:noProof/>
          <w:sz w:val="24"/>
          <w:szCs w:val="24"/>
        </w:rPr>
        <w:t>et al</w:t>
      </w:r>
      <w:r w:rsidRPr="00D826C8">
        <w:rPr>
          <w:rFonts w:ascii="Times New Roman" w:hAnsi="Times New Roman"/>
          <w:noProof/>
          <w:sz w:val="24"/>
          <w:szCs w:val="24"/>
        </w:rPr>
        <w:t>., 2007)</w:t>
      </w:r>
      <w:r w:rsidRPr="00D826C8">
        <w:rPr>
          <w:rFonts w:ascii="Times New Roman" w:hAnsi="Times New Roman"/>
          <w:sz w:val="24"/>
          <w:szCs w:val="24"/>
        </w:rPr>
        <w:fldChar w:fldCharType="end"/>
      </w:r>
      <w:r w:rsidRPr="00D826C8">
        <w:rPr>
          <w:rFonts w:ascii="Times New Roman" w:hAnsi="Times New Roman"/>
          <w:sz w:val="24"/>
          <w:szCs w:val="24"/>
        </w:rPr>
        <w:t xml:space="preserve">. </w:t>
      </w:r>
    </w:p>
    <w:p w14:paraId="0B27BB5F" w14:textId="394F5F4F" w:rsidR="000F4F26" w:rsidRPr="00D826C8" w:rsidRDefault="000F4F26" w:rsidP="00F4256B">
      <w:pPr>
        <w:spacing w:line="240" w:lineRule="auto"/>
        <w:ind w:firstLine="720"/>
        <w:jc w:val="center"/>
        <w:rPr>
          <w:rFonts w:ascii="Times New Roman" w:hAnsi="Times New Roman"/>
          <w:sz w:val="24"/>
          <w:szCs w:val="24"/>
        </w:rPr>
      </w:pPr>
      <w:r w:rsidRPr="00D826C8">
        <w:rPr>
          <w:rFonts w:ascii="Times New Roman" w:hAnsi="Times New Roman"/>
          <w:noProof/>
          <w:sz w:val="24"/>
          <w:szCs w:val="24"/>
        </w:rPr>
        <w:drawing>
          <wp:inline distT="0" distB="0" distL="0" distR="0" wp14:anchorId="6955238F" wp14:editId="48D04E36">
            <wp:extent cx="4217970" cy="3314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a:extLst>
                        <a:ext uri="{28A0092B-C50C-407E-A947-70E740481C1C}">
                          <a14:useLocalDpi xmlns:a14="http://schemas.microsoft.com/office/drawing/2010/main" val="0"/>
                        </a:ext>
                      </a:extLst>
                    </a:blip>
                    <a:srcRect l="16346" t="3561" r="8975" b="9971"/>
                    <a:stretch/>
                  </pic:blipFill>
                  <pic:spPr bwMode="auto">
                    <a:xfrm>
                      <a:off x="0" y="0"/>
                      <a:ext cx="4249910" cy="3339800"/>
                    </a:xfrm>
                    <a:prstGeom prst="rect">
                      <a:avLst/>
                    </a:prstGeom>
                    <a:ln>
                      <a:noFill/>
                    </a:ln>
                    <a:extLst>
                      <a:ext uri="{53640926-AAD7-44D8-BBD7-CCE9431645EC}">
                        <a14:shadowObscured xmlns:a14="http://schemas.microsoft.com/office/drawing/2010/main"/>
                      </a:ext>
                    </a:extLst>
                  </pic:spPr>
                </pic:pic>
              </a:graphicData>
            </a:graphic>
          </wp:inline>
        </w:drawing>
      </w:r>
    </w:p>
    <w:p w14:paraId="37493E06" w14:textId="77777777" w:rsidR="00930F58" w:rsidRDefault="00C51DE7" w:rsidP="001533D6">
      <w:pPr>
        <w:spacing w:line="240" w:lineRule="auto"/>
        <w:ind w:left="993" w:hanging="993"/>
        <w:jc w:val="both"/>
        <w:rPr>
          <w:rFonts w:ascii="Times New Roman" w:hAnsi="Times New Roman"/>
          <w:sz w:val="24"/>
          <w:szCs w:val="24"/>
        </w:rPr>
      </w:pPr>
      <w:r w:rsidRPr="00D826C8">
        <w:rPr>
          <w:rFonts w:ascii="Times New Roman" w:hAnsi="Times New Roman"/>
          <w:sz w:val="24"/>
          <w:szCs w:val="24"/>
        </w:rPr>
        <w:t>Fig</w:t>
      </w:r>
      <w:r w:rsidR="001533D6">
        <w:rPr>
          <w:rFonts w:ascii="Times New Roman" w:hAnsi="Times New Roman"/>
          <w:sz w:val="24"/>
          <w:szCs w:val="24"/>
        </w:rPr>
        <w:t>ure</w:t>
      </w:r>
      <w:r w:rsidR="000F4F26" w:rsidRPr="00D826C8">
        <w:rPr>
          <w:rFonts w:ascii="Times New Roman" w:hAnsi="Times New Roman"/>
          <w:sz w:val="24"/>
          <w:szCs w:val="24"/>
        </w:rPr>
        <w:t xml:space="preserve"> 6. Amino acid composition of GH gene from Tiger shovelnose catfish and its division by amino acid group (R Non-Polar, R Polar, R Base, and R Acid). </w:t>
      </w:r>
    </w:p>
    <w:p w14:paraId="45ABD5AB" w14:textId="49A41869" w:rsidR="000F4F26" w:rsidRPr="00D826C8" w:rsidRDefault="000F4F26" w:rsidP="001533D6">
      <w:pPr>
        <w:spacing w:line="240" w:lineRule="auto"/>
        <w:ind w:left="993" w:hanging="993"/>
        <w:jc w:val="both"/>
        <w:rPr>
          <w:rFonts w:ascii="Times New Roman" w:hAnsi="Times New Roman"/>
          <w:sz w:val="24"/>
          <w:szCs w:val="24"/>
        </w:rPr>
      </w:pPr>
      <w:r w:rsidRPr="00D826C8">
        <w:rPr>
          <w:rFonts w:ascii="Times New Roman" w:hAnsi="Times New Roman"/>
          <w:sz w:val="24"/>
          <w:szCs w:val="24"/>
        </w:rPr>
        <w:t xml:space="preserve">Note: Leu= Leucine, Val = Valine, Ile= Isoleucine, Ala= Alanine, </w:t>
      </w:r>
      <w:proofErr w:type="spellStart"/>
      <w:r w:rsidRPr="00D826C8">
        <w:rPr>
          <w:rFonts w:ascii="Times New Roman" w:hAnsi="Times New Roman"/>
          <w:sz w:val="24"/>
          <w:szCs w:val="24"/>
        </w:rPr>
        <w:t>Phe</w:t>
      </w:r>
      <w:proofErr w:type="spellEnd"/>
      <w:r w:rsidRPr="00D826C8">
        <w:rPr>
          <w:rFonts w:ascii="Times New Roman" w:hAnsi="Times New Roman"/>
          <w:sz w:val="24"/>
          <w:szCs w:val="24"/>
        </w:rPr>
        <w:t xml:space="preserve">= Phenylalanine, Met= Methionine, Pro= Proline, Ser=Serine, </w:t>
      </w:r>
      <w:proofErr w:type="spellStart"/>
      <w:r w:rsidRPr="00D826C8">
        <w:rPr>
          <w:rFonts w:ascii="Times New Roman" w:hAnsi="Times New Roman"/>
          <w:sz w:val="24"/>
          <w:szCs w:val="24"/>
        </w:rPr>
        <w:t>Thr</w:t>
      </w:r>
      <w:proofErr w:type="spellEnd"/>
      <w:r w:rsidRPr="00D826C8">
        <w:rPr>
          <w:rFonts w:ascii="Times New Roman" w:hAnsi="Times New Roman"/>
          <w:sz w:val="24"/>
          <w:szCs w:val="24"/>
        </w:rPr>
        <w:t xml:space="preserve">= Threonine, </w:t>
      </w:r>
      <w:proofErr w:type="spellStart"/>
      <w:r w:rsidRPr="00D826C8">
        <w:rPr>
          <w:rFonts w:ascii="Times New Roman" w:hAnsi="Times New Roman"/>
          <w:sz w:val="24"/>
          <w:szCs w:val="24"/>
        </w:rPr>
        <w:t>Asn</w:t>
      </w:r>
      <w:proofErr w:type="spellEnd"/>
      <w:r w:rsidRPr="00D826C8">
        <w:rPr>
          <w:rFonts w:ascii="Times New Roman" w:hAnsi="Times New Roman"/>
          <w:sz w:val="24"/>
          <w:szCs w:val="24"/>
        </w:rPr>
        <w:t xml:space="preserve">=Asparagine, </w:t>
      </w:r>
      <w:proofErr w:type="spellStart"/>
      <w:r w:rsidRPr="00D826C8">
        <w:rPr>
          <w:rFonts w:ascii="Times New Roman" w:hAnsi="Times New Roman"/>
          <w:sz w:val="24"/>
          <w:szCs w:val="24"/>
        </w:rPr>
        <w:t>Gly</w:t>
      </w:r>
      <w:proofErr w:type="spellEnd"/>
      <w:r w:rsidRPr="00D826C8">
        <w:rPr>
          <w:rFonts w:ascii="Times New Roman" w:hAnsi="Times New Roman"/>
          <w:sz w:val="24"/>
          <w:szCs w:val="24"/>
        </w:rPr>
        <w:t xml:space="preserve">= Glycine, Gln= Glutamine, Arg= Arginine, Lys=Lysine, His= Histidine, Glu=Glutamate, Asp=Aspartate </w:t>
      </w:r>
    </w:p>
    <w:p w14:paraId="4CC5A711" w14:textId="4128C838" w:rsidR="00F67774" w:rsidRDefault="00D612CC" w:rsidP="00F67774">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t>Fig</w:t>
      </w:r>
      <w:r w:rsidR="001533D6">
        <w:rPr>
          <w:rFonts w:ascii="Times New Roman" w:hAnsi="Times New Roman"/>
          <w:sz w:val="24"/>
          <w:szCs w:val="24"/>
        </w:rPr>
        <w:t>ure</w:t>
      </w:r>
      <w:r w:rsidRPr="00D826C8">
        <w:rPr>
          <w:rFonts w:ascii="Times New Roman" w:hAnsi="Times New Roman"/>
          <w:sz w:val="24"/>
          <w:szCs w:val="24"/>
        </w:rPr>
        <w:t xml:space="preserve"> 6 shows the percentage composition of the amino acids without the TAG sequence. The amino acid composition of GH Tiger shovelnose catfish was divided into four category amino acids based on the R group. The first group, i.e., non-polar R, consists of Leucine (16</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Valine (13.3</w:t>
      </w:r>
      <w:r w:rsidR="00162CC9" w:rsidRPr="00D826C8">
        <w:rPr>
          <w:rFonts w:ascii="Times New Roman" w:hAnsi="Times New Roman"/>
          <w:sz w:val="24"/>
          <w:szCs w:val="24"/>
        </w:rPr>
        <w:t xml:space="preserve"> </w:t>
      </w:r>
      <w:r w:rsidRPr="00D826C8">
        <w:rPr>
          <w:rFonts w:ascii="Times New Roman" w:hAnsi="Times New Roman"/>
          <w:sz w:val="24"/>
          <w:szCs w:val="24"/>
        </w:rPr>
        <w:t>%), Isoleucine (4</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Alanine (6.6</w:t>
      </w:r>
      <w:r w:rsidR="00162CC9" w:rsidRPr="00D826C8">
        <w:rPr>
          <w:rFonts w:ascii="Times New Roman" w:hAnsi="Times New Roman"/>
          <w:sz w:val="24"/>
          <w:szCs w:val="24"/>
        </w:rPr>
        <w:t xml:space="preserve"> </w:t>
      </w:r>
      <w:r w:rsidRPr="00D826C8">
        <w:rPr>
          <w:rFonts w:ascii="Times New Roman" w:hAnsi="Times New Roman"/>
          <w:sz w:val="24"/>
          <w:szCs w:val="24"/>
        </w:rPr>
        <w:t>%), Phenylalanine (4</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Methionine (1.3</w:t>
      </w:r>
      <w:r w:rsidR="00162CC9" w:rsidRPr="00D826C8">
        <w:rPr>
          <w:rFonts w:ascii="Times New Roman" w:hAnsi="Times New Roman"/>
          <w:sz w:val="24"/>
          <w:szCs w:val="24"/>
        </w:rPr>
        <w:t xml:space="preserve"> </w:t>
      </w:r>
      <w:r w:rsidRPr="00D826C8">
        <w:rPr>
          <w:rFonts w:ascii="Times New Roman" w:hAnsi="Times New Roman"/>
          <w:sz w:val="24"/>
          <w:szCs w:val="24"/>
        </w:rPr>
        <w:t>%), Proline (2.6</w:t>
      </w:r>
      <w:r w:rsidR="00162CC9" w:rsidRPr="00D826C8">
        <w:rPr>
          <w:rFonts w:ascii="Times New Roman" w:hAnsi="Times New Roman"/>
          <w:sz w:val="24"/>
          <w:szCs w:val="24"/>
        </w:rPr>
        <w:t xml:space="preserve"> </w:t>
      </w:r>
      <w:r w:rsidRPr="00D826C8">
        <w:rPr>
          <w:rFonts w:ascii="Times New Roman" w:hAnsi="Times New Roman"/>
          <w:sz w:val="24"/>
          <w:szCs w:val="24"/>
        </w:rPr>
        <w:t>%), so that a total of 48</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of amino acids are in this group. The second group is R polar, which consists of Serine (5.3</w:t>
      </w:r>
      <w:r w:rsidR="00162CC9" w:rsidRPr="00D826C8">
        <w:rPr>
          <w:rFonts w:ascii="Times New Roman" w:hAnsi="Times New Roman"/>
          <w:sz w:val="24"/>
          <w:szCs w:val="24"/>
        </w:rPr>
        <w:t xml:space="preserve"> </w:t>
      </w:r>
      <w:r w:rsidRPr="00D826C8">
        <w:rPr>
          <w:rFonts w:ascii="Times New Roman" w:hAnsi="Times New Roman"/>
          <w:sz w:val="24"/>
          <w:szCs w:val="24"/>
        </w:rPr>
        <w:t>%), Threonine (5.3</w:t>
      </w:r>
      <w:r w:rsidR="00162CC9" w:rsidRPr="00D826C8">
        <w:rPr>
          <w:rFonts w:ascii="Times New Roman" w:hAnsi="Times New Roman"/>
          <w:sz w:val="24"/>
          <w:szCs w:val="24"/>
        </w:rPr>
        <w:t xml:space="preserve"> </w:t>
      </w:r>
      <w:r w:rsidRPr="00D826C8">
        <w:rPr>
          <w:rFonts w:ascii="Times New Roman" w:hAnsi="Times New Roman"/>
          <w:sz w:val="24"/>
          <w:szCs w:val="24"/>
        </w:rPr>
        <w:t>%), Asparagine (2.6</w:t>
      </w:r>
      <w:r w:rsidR="00162CC9" w:rsidRPr="00D826C8">
        <w:rPr>
          <w:rFonts w:ascii="Times New Roman" w:hAnsi="Times New Roman"/>
          <w:sz w:val="24"/>
          <w:szCs w:val="24"/>
        </w:rPr>
        <w:t xml:space="preserve"> </w:t>
      </w:r>
      <w:r w:rsidRPr="00D826C8">
        <w:rPr>
          <w:rFonts w:ascii="Times New Roman" w:hAnsi="Times New Roman"/>
          <w:sz w:val="24"/>
          <w:szCs w:val="24"/>
        </w:rPr>
        <w:t>%), Glycine (9.3</w:t>
      </w:r>
      <w:r w:rsidR="00162CC9" w:rsidRPr="00D826C8">
        <w:rPr>
          <w:rFonts w:ascii="Times New Roman" w:hAnsi="Times New Roman"/>
          <w:sz w:val="24"/>
          <w:szCs w:val="24"/>
        </w:rPr>
        <w:t xml:space="preserve"> </w:t>
      </w:r>
      <w:r w:rsidRPr="00D826C8">
        <w:rPr>
          <w:rFonts w:ascii="Times New Roman" w:hAnsi="Times New Roman"/>
          <w:sz w:val="24"/>
          <w:szCs w:val="24"/>
        </w:rPr>
        <w:t>%), and Glutamine (6.6</w:t>
      </w:r>
      <w:r w:rsidR="00162CC9" w:rsidRPr="00D826C8">
        <w:rPr>
          <w:rFonts w:ascii="Times New Roman" w:hAnsi="Times New Roman"/>
          <w:sz w:val="24"/>
          <w:szCs w:val="24"/>
        </w:rPr>
        <w:t xml:space="preserve"> </w:t>
      </w:r>
      <w:r w:rsidRPr="00D826C8">
        <w:rPr>
          <w:rFonts w:ascii="Times New Roman" w:hAnsi="Times New Roman"/>
          <w:sz w:val="24"/>
          <w:szCs w:val="24"/>
        </w:rPr>
        <w:t>%); with a total of 29.3</w:t>
      </w:r>
      <w:r w:rsidR="00162CC9" w:rsidRPr="00D826C8">
        <w:rPr>
          <w:rFonts w:ascii="Times New Roman" w:hAnsi="Times New Roman"/>
          <w:sz w:val="24"/>
          <w:szCs w:val="24"/>
        </w:rPr>
        <w:t xml:space="preserve"> </w:t>
      </w:r>
      <w:r w:rsidRPr="00D826C8">
        <w:rPr>
          <w:rFonts w:ascii="Times New Roman" w:hAnsi="Times New Roman"/>
          <w:sz w:val="24"/>
          <w:szCs w:val="24"/>
        </w:rPr>
        <w:t>%. The third group, R Base, consists of Arginine (4</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Lysine (5.3</w:t>
      </w:r>
      <w:r w:rsidR="00162CC9" w:rsidRPr="00D826C8">
        <w:rPr>
          <w:rFonts w:ascii="Times New Roman" w:hAnsi="Times New Roman"/>
          <w:sz w:val="24"/>
          <w:szCs w:val="24"/>
        </w:rPr>
        <w:t xml:space="preserve"> </w:t>
      </w:r>
      <w:r w:rsidRPr="00D826C8">
        <w:rPr>
          <w:rFonts w:ascii="Times New Roman" w:hAnsi="Times New Roman"/>
          <w:sz w:val="24"/>
          <w:szCs w:val="24"/>
        </w:rPr>
        <w:t>%), and Histidine (6.6</w:t>
      </w:r>
      <w:r w:rsidR="00162CC9" w:rsidRPr="00D826C8">
        <w:rPr>
          <w:rFonts w:ascii="Times New Roman" w:hAnsi="Times New Roman"/>
          <w:sz w:val="24"/>
          <w:szCs w:val="24"/>
        </w:rPr>
        <w:t xml:space="preserve"> </w:t>
      </w:r>
      <w:r w:rsidRPr="00D826C8">
        <w:rPr>
          <w:rFonts w:ascii="Times New Roman" w:hAnsi="Times New Roman"/>
          <w:sz w:val="24"/>
          <w:szCs w:val="24"/>
        </w:rPr>
        <w:t>%), making a total of 16</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The fourth group is R Acid with a total of 6,6</w:t>
      </w:r>
      <w:r w:rsidR="00162CC9" w:rsidRPr="00D826C8">
        <w:rPr>
          <w:rFonts w:ascii="Times New Roman" w:hAnsi="Times New Roman"/>
          <w:sz w:val="24"/>
          <w:szCs w:val="24"/>
        </w:rPr>
        <w:t xml:space="preserve"> </w:t>
      </w:r>
      <w:r w:rsidRPr="00D826C8">
        <w:rPr>
          <w:rFonts w:ascii="Times New Roman" w:hAnsi="Times New Roman"/>
          <w:sz w:val="24"/>
          <w:szCs w:val="24"/>
        </w:rPr>
        <w:t>%, consisting of glutamic acid (4</w:t>
      </w:r>
      <w:r w:rsidR="00253125" w:rsidRPr="00D826C8">
        <w:rPr>
          <w:rFonts w:ascii="Times New Roman" w:hAnsi="Times New Roman"/>
          <w:sz w:val="24"/>
          <w:szCs w:val="24"/>
        </w:rPr>
        <w:t>.0</w:t>
      </w:r>
      <w:r w:rsidR="00162CC9" w:rsidRPr="00D826C8">
        <w:rPr>
          <w:rFonts w:ascii="Times New Roman" w:hAnsi="Times New Roman"/>
          <w:sz w:val="24"/>
          <w:szCs w:val="24"/>
        </w:rPr>
        <w:t xml:space="preserve"> </w:t>
      </w:r>
      <w:r w:rsidRPr="00D826C8">
        <w:rPr>
          <w:rFonts w:ascii="Times New Roman" w:hAnsi="Times New Roman"/>
          <w:sz w:val="24"/>
          <w:szCs w:val="24"/>
        </w:rPr>
        <w:t>%) and aspartic acid (2.6</w:t>
      </w:r>
      <w:r w:rsidR="00162CC9" w:rsidRPr="00D826C8">
        <w:rPr>
          <w:rFonts w:ascii="Times New Roman" w:hAnsi="Times New Roman"/>
          <w:sz w:val="24"/>
          <w:szCs w:val="24"/>
        </w:rPr>
        <w:t xml:space="preserve"> </w:t>
      </w:r>
      <w:r w:rsidRPr="00D826C8">
        <w:rPr>
          <w:rFonts w:ascii="Times New Roman" w:hAnsi="Times New Roman"/>
          <w:sz w:val="24"/>
          <w:szCs w:val="24"/>
        </w:rPr>
        <w:t>%).</w:t>
      </w:r>
      <w:r w:rsidRPr="00D826C8">
        <w:rPr>
          <w:rFonts w:ascii="Times New Roman" w:hAnsi="Times New Roman"/>
          <w:color w:val="FF0000"/>
          <w:sz w:val="24"/>
          <w:szCs w:val="24"/>
        </w:rPr>
        <w:t xml:space="preserve"> </w:t>
      </w:r>
      <w:r w:rsidR="00F67774" w:rsidRPr="00D826C8">
        <w:rPr>
          <w:rFonts w:ascii="Times New Roman" w:hAnsi="Times New Roman"/>
          <w:sz w:val="24"/>
          <w:szCs w:val="24"/>
        </w:rPr>
        <w:t xml:space="preserve">The amino acid composition of catfish was more complete than Tiger shovelnose catfish because it has 20 types of amino acids. The difference lies in Tryptophan, Cysteine, and Tyrosine types, although the percentage of occurrence is small, ranging from 0.5 - 4.0 % </w:t>
      </w:r>
      <w:r w:rsidR="00F67774" w:rsidRPr="00D826C8">
        <w:rPr>
          <w:rFonts w:ascii="Times New Roman" w:hAnsi="Times New Roman"/>
          <w:sz w:val="24"/>
          <w:szCs w:val="24"/>
        </w:rPr>
        <w:fldChar w:fldCharType="begin" w:fldLock="1"/>
      </w:r>
      <w:r w:rsidR="00F67774">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hypophthalmus","type":"article-journal","volume":"4"},"uris":["http://www.mendeley.com/documents/?uuid=ad6a61d6-73ba-48d3-9399-54bda6766dc9"]}],"mendeley":{"formattedCitation":"(Dewi et al., 2009)","plainTextFormattedCitation":"(Dewi et al., 2009)","previouslyFormattedCitation":"(Dewi et al. 2009)"},"properties":{"noteIndex":0},"schema":"https://github.com/citation-style-language/schema/raw/master/csl-citation.json"}</w:instrText>
      </w:r>
      <w:r w:rsidR="00F67774" w:rsidRPr="00D826C8">
        <w:rPr>
          <w:rFonts w:ascii="Times New Roman" w:hAnsi="Times New Roman"/>
          <w:sz w:val="24"/>
          <w:szCs w:val="24"/>
        </w:rPr>
        <w:fldChar w:fldCharType="separate"/>
      </w:r>
      <w:r w:rsidR="00F67774" w:rsidRPr="00D826C8">
        <w:rPr>
          <w:rFonts w:ascii="Times New Roman" w:hAnsi="Times New Roman"/>
          <w:noProof/>
          <w:sz w:val="24"/>
          <w:szCs w:val="24"/>
        </w:rPr>
        <w:t xml:space="preserve">(Dewi </w:t>
      </w:r>
      <w:r w:rsidR="00F67774" w:rsidRPr="00B17142">
        <w:rPr>
          <w:rFonts w:ascii="Times New Roman" w:hAnsi="Times New Roman"/>
          <w:i/>
          <w:iCs/>
          <w:noProof/>
          <w:sz w:val="24"/>
          <w:szCs w:val="24"/>
        </w:rPr>
        <w:t>et al</w:t>
      </w:r>
      <w:r w:rsidR="00F67774" w:rsidRPr="00D826C8">
        <w:rPr>
          <w:rFonts w:ascii="Times New Roman" w:hAnsi="Times New Roman"/>
          <w:noProof/>
          <w:sz w:val="24"/>
          <w:szCs w:val="24"/>
        </w:rPr>
        <w:t>., 2009)</w:t>
      </w:r>
      <w:r w:rsidR="00F67774" w:rsidRPr="00D826C8">
        <w:rPr>
          <w:rFonts w:ascii="Times New Roman" w:hAnsi="Times New Roman"/>
          <w:sz w:val="24"/>
          <w:szCs w:val="24"/>
        </w:rPr>
        <w:fldChar w:fldCharType="end"/>
      </w:r>
      <w:r w:rsidR="00F67774" w:rsidRPr="00D826C8">
        <w:rPr>
          <w:rFonts w:ascii="Times New Roman" w:hAnsi="Times New Roman"/>
          <w:sz w:val="24"/>
          <w:szCs w:val="24"/>
        </w:rPr>
        <w:t xml:space="preserve">. </w:t>
      </w:r>
      <w:r w:rsidR="00F67774" w:rsidRPr="00D826C8">
        <w:rPr>
          <w:rFonts w:ascii="Times New Roman" w:hAnsi="Times New Roman"/>
          <w:sz w:val="24"/>
          <w:szCs w:val="24"/>
        </w:rPr>
        <w:lastRenderedPageBreak/>
        <w:t xml:space="preserve">Sequences that do not code for amino acids are called untranslated regions </w:t>
      </w:r>
      <w:r w:rsidR="00F67774" w:rsidRPr="00D826C8">
        <w:rPr>
          <w:rFonts w:ascii="Times New Roman" w:hAnsi="Times New Roman"/>
          <w:sz w:val="24"/>
          <w:szCs w:val="24"/>
        </w:rPr>
        <w:fldChar w:fldCharType="begin" w:fldLock="1"/>
      </w:r>
      <w:r w:rsidR="00F67774">
        <w:rPr>
          <w:rFonts w:ascii="Times New Roman" w:hAnsi="Times New Roman"/>
          <w:sz w:val="24"/>
          <w:szCs w:val="24"/>
        </w:rPr>
        <w:instrText>ADDIN CSL_CITATION {"citationItems":[{"id":"ITEM-1","itemData":{"DOI":"10.15578/jra.4.1.2009.23-31","ISSN":"1907-6754","abstract":"Penelitian ini dilakukan untuk mengisolasi promoter b-aktin (ggBA) dari ikan gurami (Osphronemus gouramy). Sekuens promoter ggBA diisolasi menggunakan metode “degenerate” PCR. Sekuensing dilakukan menggunakan mesin ABI PRISM 3100-Avant. Analisis sekuens menggunakan program BLAST, GENETYX versi 7 dan TFBind. Panjang sekuens DNA hasil kloning adalah sekitar 2,2 kb. Analisis BLAST menunjukkan bahwa sekuens DNA hasil kloning memiliki kemiripan dengan sekuens gen b-aktin ikan yang ada di Bank Gen. Sekuens hasil kloning memiliki faktor transkripsi yang konserf untuk promoter b-aktin, yaitu: CCAAT, CC(A/T)6GG, dan boks TATA. Posisi faktor transkripsi tersebut juga mirip dengan yang dimiliki oleh promoter b-aktin dari ikan yang ada di Bank Gen. Dengan demikian dapat disimpulkan bahwa fragmen DNA hasil amplifikasi PCR tersebut merupakan sekuens promoter b-aktin ikan gurami.The research was aimed to isolate b-actin promoter of gouramy (ggBA). Sequence of ggBA promoter was isolated using “degenerate” PCR. Sequencing was conducted using ABI PRISM 3100-Avant machine. The sequencing analysis was done using BLAST, GENETYX ver 7 and TFBind programs. The sequencing length of DNA clone result was around 2.2 kb. BLAST analysis showed that sequences from cloned DNA had the resemblence to those of b-actin sequences in GenBank database. The cloned sequences had transcript factors which followed b-actin promoter namely CCAAT, CC(A/T)6GG and TATA box.","author":[{"dropping-particle":"","family":"Nugroho","given":"Estu","non-dropping-particle":"","parse-names":false,"suffix":""},{"dropping-particle":"","family":"Alimuddin","given":"","non-dropping-particle":"","parse-names":false,"suffix":""},{"dropping-particle":"","family":"Kristanto","given":"Anang Hari","non-dropping-particle":"","parse-names":false,"suffix":""},{"dropping-particle":"","family":"Carman","given":"Odang","non-dropping-particle":"","parse-names":false,"suffix":""}],"container-title":"Jurnal Riset Akuakultur","id":"ITEM-1","issue":"1","issued":{"date-parts":[["2016"]]},"page":"23-31","title":"Cloning of β-actin promoter from giant gouramy (Osphronemus gouramy)","type":"article-journal","volume":"4"},"uris":["http://www.mendeley.com/documents/?uuid=03e20b05-5028-499c-aabe-4b371256b766"]}],"mendeley":{"formattedCitation":"(Nugroho et al., 2016)","plainTextFormattedCitation":"(Nugroho et al., 2016)","previouslyFormattedCitation":"(Nugroho et al. 2016)"},"properties":{"noteIndex":0},"schema":"https://github.com/citation-style-language/schema/raw/master/csl-citation.json"}</w:instrText>
      </w:r>
      <w:r w:rsidR="00F67774" w:rsidRPr="00D826C8">
        <w:rPr>
          <w:rFonts w:ascii="Times New Roman" w:hAnsi="Times New Roman"/>
          <w:sz w:val="24"/>
          <w:szCs w:val="24"/>
        </w:rPr>
        <w:fldChar w:fldCharType="separate"/>
      </w:r>
      <w:r w:rsidR="00F67774" w:rsidRPr="00D826C8">
        <w:rPr>
          <w:rFonts w:ascii="Times New Roman" w:hAnsi="Times New Roman"/>
          <w:noProof/>
          <w:sz w:val="24"/>
          <w:szCs w:val="24"/>
        </w:rPr>
        <w:t xml:space="preserve">(Nugroho </w:t>
      </w:r>
      <w:r w:rsidR="00F67774" w:rsidRPr="00B17142">
        <w:rPr>
          <w:rFonts w:ascii="Times New Roman" w:hAnsi="Times New Roman"/>
          <w:i/>
          <w:iCs/>
          <w:noProof/>
          <w:sz w:val="24"/>
          <w:szCs w:val="24"/>
        </w:rPr>
        <w:t>et al</w:t>
      </w:r>
      <w:r w:rsidR="00F67774" w:rsidRPr="00D826C8">
        <w:rPr>
          <w:rFonts w:ascii="Times New Roman" w:hAnsi="Times New Roman"/>
          <w:noProof/>
          <w:sz w:val="24"/>
          <w:szCs w:val="24"/>
        </w:rPr>
        <w:t>., 2016)</w:t>
      </w:r>
      <w:r w:rsidR="00F67774" w:rsidRPr="00D826C8">
        <w:rPr>
          <w:rFonts w:ascii="Times New Roman" w:hAnsi="Times New Roman"/>
          <w:sz w:val="24"/>
          <w:szCs w:val="24"/>
        </w:rPr>
        <w:fldChar w:fldCharType="end"/>
      </w:r>
      <w:r w:rsidR="00F67774" w:rsidRPr="00D826C8">
        <w:rPr>
          <w:rFonts w:ascii="Times New Roman" w:hAnsi="Times New Roman"/>
          <w:sz w:val="24"/>
          <w:szCs w:val="24"/>
        </w:rPr>
        <w:t xml:space="preserve">. Each amino acid has a different R group or side chain; depending on the size, shape, charge, hydrogen-binding capacity, and chemical reactivity </w:t>
      </w:r>
      <w:r w:rsidR="00F67774" w:rsidRPr="00D826C8">
        <w:rPr>
          <w:rFonts w:ascii="Times New Roman" w:hAnsi="Times New Roman"/>
          <w:sz w:val="24"/>
          <w:szCs w:val="24"/>
        </w:rPr>
        <w:fldChar w:fldCharType="begin" w:fldLock="1"/>
      </w:r>
      <w:r w:rsidR="00F67774">
        <w:rPr>
          <w:rFonts w:ascii="Times New Roman" w:hAnsi="Times New Roman"/>
          <w:sz w:val="24"/>
          <w:szCs w:val="24"/>
        </w:rPr>
        <w:instrText>ADDIN CSL_CITATION {"citationItems":[{"id":"ITEM-1","itemData":{"ISBN":"9789793401621","author":[{"dropping-particle":"","family":"Hanum","given":"G. R.","non-dropping-particle":"","parse-names":false,"suffix":""}],"edition":"1","editor":[{"dropping-particle":"","family":"Sartika","given":"S.B.","non-dropping-particle":"","parse-names":false,"suffix":""}],"id":"ITEM-1","issued":{"date-parts":[["2017"]]},"number-of-pages":"154","publisher":"UMSIDA Press","publisher-place":"Sidoarjo","title":"Biokimia Dasar","type":"book"},"uris":["http://www.mendeley.com/documents/?uuid=21e01abe-3d82-41b1-93e5-ab11a565aaf4"]}],"mendeley":{"formattedCitation":"(Hanum, 2017)","plainTextFormattedCitation":"(Hanum, 2017)","previouslyFormattedCitation":"(Hanum 2017)"},"properties":{"noteIndex":0},"schema":"https://github.com/citation-style-language/schema/raw/master/csl-citation.json"}</w:instrText>
      </w:r>
      <w:r w:rsidR="00F67774" w:rsidRPr="00D826C8">
        <w:rPr>
          <w:rFonts w:ascii="Times New Roman" w:hAnsi="Times New Roman"/>
          <w:sz w:val="24"/>
          <w:szCs w:val="24"/>
        </w:rPr>
        <w:fldChar w:fldCharType="separate"/>
      </w:r>
      <w:r w:rsidR="00F67774" w:rsidRPr="00D826C8">
        <w:rPr>
          <w:rFonts w:ascii="Times New Roman" w:hAnsi="Times New Roman"/>
          <w:noProof/>
          <w:sz w:val="24"/>
          <w:szCs w:val="24"/>
        </w:rPr>
        <w:t>(Hanum, 2017)</w:t>
      </w:r>
      <w:r w:rsidR="00F67774" w:rsidRPr="00D826C8">
        <w:rPr>
          <w:rFonts w:ascii="Times New Roman" w:hAnsi="Times New Roman"/>
          <w:sz w:val="24"/>
          <w:szCs w:val="24"/>
        </w:rPr>
        <w:fldChar w:fldCharType="end"/>
      </w:r>
      <w:r w:rsidR="00F67774" w:rsidRPr="00D826C8">
        <w:rPr>
          <w:rFonts w:ascii="Times New Roman" w:hAnsi="Times New Roman"/>
          <w:sz w:val="24"/>
          <w:szCs w:val="24"/>
        </w:rPr>
        <w:t>.</w:t>
      </w:r>
    </w:p>
    <w:p w14:paraId="41D586BD" w14:textId="77777777" w:rsidR="00F67774" w:rsidRPr="00D826C8" w:rsidRDefault="00F67774" w:rsidP="00F67774">
      <w:pPr>
        <w:spacing w:line="240" w:lineRule="auto"/>
        <w:ind w:firstLine="567"/>
        <w:jc w:val="both"/>
        <w:rPr>
          <w:rFonts w:ascii="Times New Roman" w:hAnsi="Times New Roman"/>
          <w:sz w:val="24"/>
          <w:szCs w:val="24"/>
        </w:rPr>
      </w:pPr>
      <w:r w:rsidRPr="00D826C8">
        <w:rPr>
          <w:rFonts w:ascii="Times New Roman" w:hAnsi="Times New Roman"/>
          <w:sz w:val="24"/>
          <w:szCs w:val="24"/>
        </w:rPr>
        <w:t xml:space="preserve">The composition of amino acids in the GH gene of each species was different. In grouper, there were 20 types of amino acids of GH gene. The non-polar R group had 40.5 %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{"citationItems":[{"id":"ITEM-1","itemData":{"DOI":"https://doi.org/10.11598/btb.2007.14.2.14","abstract":"Growth hormone (GH) that plays an important role in growth, reproduction, seawater adaptation, and immune function was isolated and sequenced from humpback grouper, Cromileptes altivelis. The cDNA was isolated from pituitary using RT-PCR. The 618 bp open reading frame encodes a 205 amino acid (aa) protein, which represents an 18 aa signal peptide followed by a 187 aa mature GH polypeptide. The fragment contained conserved domain of somatotropinâ€“1, somatotropinâ€“2, casein kinase II phosphorylation, protein kinase C phosphorylation, Nâ€“myristoylation and Nâ€“glycosilation. The similarity of deduced protein of humpback grouper GH was 65.0 - 89.5% with other fishes","author":[{"dropping-particle":"","family":"Syarifudin","given":"M.","non-dropping-particle":"","parse-names":false,"suffix":""},{"dropping-particle":"","family":"Alimuddin","given":"","non-dropping-particle":"","parse-names":false,"suffix":""},{"dropping-particle":"","family":"Widyastuti","given":"U.","non-dropping-particle":"","parse-names":false,"suffix":""},{"dropping-particle":"","family":"Aliah","given":"Ratu Siti","non-dropping-particle":"","parse-names":false,"suffix":""}],"container-title":"Biotropia","id":"ITEM-1","issue":"2","issued":{"date-parts":[["2007"]]},"page":"1-8","title":"cDNA encoding growth hormone from humpbac grouper (Cromileptes altivelis)","type":"article-journal","volume":"14"},"uris":["http://www.mendeley.com/documents/?uuid=e92cce5e-ea7a-4ac4-874a-de2bbd048f20"]}],"mendeley":{"formattedCitation":"(Syarifudin et al., 2007)","plainTextFormattedCitation":"(Syarifudin et al., 2007)","previouslyFormattedCitation":"(Syarifudin et al. 2007)"},"properties":{"noteIndex":0},"schema":"https://github.com/citation-style-language/schema/raw/master/csl-citation.json"}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(Syarifudin </w:t>
      </w:r>
      <w:r w:rsidRPr="00B17142">
        <w:rPr>
          <w:rFonts w:ascii="Times New Roman" w:hAnsi="Times New Roman"/>
          <w:i/>
          <w:iCs/>
          <w:noProof/>
          <w:sz w:val="24"/>
          <w:szCs w:val="24"/>
        </w:rPr>
        <w:t>et al</w:t>
      </w:r>
      <w:r w:rsidRPr="00D826C8">
        <w:rPr>
          <w:rFonts w:ascii="Times New Roman" w:hAnsi="Times New Roman"/>
          <w:noProof/>
          <w:sz w:val="24"/>
          <w:szCs w:val="24"/>
        </w:rPr>
        <w:t>., 2007)</w:t>
      </w:r>
      <w:r w:rsidRPr="00D826C8">
        <w:rPr>
          <w:rFonts w:ascii="Times New Roman" w:hAnsi="Times New Roman"/>
          <w:sz w:val="24"/>
          <w:szCs w:val="24"/>
        </w:rPr>
        <w:fldChar w:fldCharType="end"/>
      </w:r>
      <w:r w:rsidRPr="00D826C8">
        <w:rPr>
          <w:rFonts w:ascii="Times New Roman" w:hAnsi="Times New Roman"/>
          <w:sz w:val="24"/>
          <w:szCs w:val="24"/>
        </w:rPr>
        <w:t xml:space="preserve">. The highest group was the GH of Tiger shovelnose catfish. Percentage of amino acid composition in grouper, based on other R groups, was polar R group consisting of seven types of amino acids (36.1 %), basic R composed of three types of amino acids (12.2 %), and acidic R of two types of amino acids (10.7 %)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{"citationItems":[{"id":"ITEM-1","itemData":{"DOI":"https://doi.org/10.11598/btb.2007.14.2.14","abstract":"Growth hormone (GH) that plays an important role in growth, reproduction, seawater adaptation, and immune function was isolated and sequenced from humpback grouper, Cromileptes altivelis. The cDNA was isolated from pituitary using RT-PCR. The 618 bp open reading frame encodes a 205 amino acid (aa) protein, which represents an 18 aa signal peptide followed by a 187 aa mature GH polypeptide. The fragment contained conserved domain of somatotropinâ€“1, somatotropinâ€“2, casein kinase II phosphorylation, protein kinase C phosphorylation, Nâ€“myristoylation and Nâ€“glycosilation. The similarity of deduced protein of humpback grouper GH was 65.0 - 89.5% with other fishes","author":[{"dropping-particle":"","family":"Syarifudin","given":"M.","non-dropping-particle":"","parse-names":false,"suffix":""},{"dropping-particle":"","family":"Alimuddin","given":"","non-dropping-particle":"","parse-names":false,"suffix":""},{"dropping-particle":"","family":"Widyastuti","given":"U.","non-dropping-particle":"","parse-names":false,"suffix":""},{"dropping-particle":"","family":"Aliah","given":"Ratu Siti","non-dropping-particle":"","parse-names":false,"suffix":""}],"container-title":"Biotropia","id":"ITEM-1","issue":"2","issued":{"date-parts":[["2007"]]},"page":"1-8","title":"cDNA encoding growth hormone from humpbac grouper (Cromileptes altivelis)","type":"article-journal","volume":"14"},"uris":["http://www.mendeley.com/documents/?uuid=e92cce5e-ea7a-4ac4-874a-de2bbd048f20"]}],"mendeley":{"formattedCitation":"(Syarifudin et al., 2007)","plainTextFormattedCitation":"(Syarifudin et al., 2007)","previouslyFormattedCitation":"(Syarifudin et al. 2007)"},"properties":{"noteIndex":0},"schema":"https://github.com/citation-style-language/schema/raw/master/csl-citation.json"}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(Syarifudin </w:t>
      </w:r>
      <w:r w:rsidRPr="00B17142">
        <w:rPr>
          <w:rFonts w:ascii="Times New Roman" w:hAnsi="Times New Roman"/>
          <w:i/>
          <w:iCs/>
          <w:noProof/>
          <w:sz w:val="24"/>
          <w:szCs w:val="24"/>
        </w:rPr>
        <w:t>et al</w:t>
      </w:r>
      <w:r w:rsidRPr="00D826C8">
        <w:rPr>
          <w:rFonts w:ascii="Times New Roman" w:hAnsi="Times New Roman"/>
          <w:noProof/>
          <w:sz w:val="24"/>
          <w:szCs w:val="24"/>
        </w:rPr>
        <w:t>., 2007)</w:t>
      </w:r>
      <w:r w:rsidRPr="00D826C8">
        <w:rPr>
          <w:rFonts w:ascii="Times New Roman" w:hAnsi="Times New Roman"/>
          <w:sz w:val="24"/>
          <w:szCs w:val="24"/>
        </w:rPr>
        <w:fldChar w:fldCharType="end"/>
      </w:r>
      <w:r w:rsidRPr="00D826C8">
        <w:rPr>
          <w:rFonts w:ascii="Times New Roman" w:hAnsi="Times New Roman"/>
          <w:sz w:val="24"/>
          <w:szCs w:val="24"/>
        </w:rPr>
        <w:t>. The pattern of amino acid composition based on the R group has similarities between grouper and Tiger shovelnose catfish, but the types and percentages are different.</w:t>
      </w:r>
    </w:p>
    <w:p w14:paraId="379EE284" w14:textId="77777777" w:rsidR="00F67774" w:rsidRPr="00D826C8" w:rsidRDefault="00F67774" w:rsidP="00F67774">
      <w:pPr>
        <w:spacing w:line="240" w:lineRule="auto"/>
        <w:ind w:firstLine="567"/>
        <w:jc w:val="both"/>
        <w:rPr>
          <w:rFonts w:ascii="Times New Roman" w:hAnsi="Times New Roman"/>
          <w:sz w:val="24"/>
          <w:szCs w:val="24"/>
        </w:rPr>
      </w:pPr>
      <w:r w:rsidRPr="00D826C8">
        <w:rPr>
          <w:rFonts w:ascii="Times New Roman" w:hAnsi="Times New Roman"/>
          <w:sz w:val="24"/>
          <w:szCs w:val="24"/>
        </w:rPr>
        <w:t xml:space="preserve">The amino acid with the highest percentage is leucine, both in catfish (14.0 %)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hypophthalmus","type":"article-journal","volume":"4"},"uris":["http://www.mendeley.com/documents/?uuid=ad6a61d6-73ba-48d3-9399-54bda6766dc9"]}],"mendeley":{"formattedCitation":"(Dewi et al., 2009)","plainTextFormattedCitation":"(Dewi et al., 2009)","previouslyFormattedCitation":"(Dewi et al. 2009)"},"properties":{"noteIndex":0},"schema":"https://github.com/citation-style-language/schema/raw/master/csl-citation.json"}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(Dewi </w:t>
      </w:r>
      <w:r w:rsidRPr="00B17142">
        <w:rPr>
          <w:rFonts w:ascii="Times New Roman" w:hAnsi="Times New Roman"/>
          <w:i/>
          <w:iCs/>
          <w:noProof/>
          <w:sz w:val="24"/>
          <w:szCs w:val="24"/>
        </w:rPr>
        <w:t>et al</w:t>
      </w:r>
      <w:r w:rsidRPr="00D826C8">
        <w:rPr>
          <w:rFonts w:ascii="Times New Roman" w:hAnsi="Times New Roman"/>
          <w:noProof/>
          <w:sz w:val="24"/>
          <w:szCs w:val="24"/>
        </w:rPr>
        <w:t>., 2009)</w:t>
      </w:r>
      <w:r w:rsidRPr="00D826C8">
        <w:rPr>
          <w:rFonts w:ascii="Times New Roman" w:hAnsi="Times New Roman"/>
          <w:sz w:val="24"/>
          <w:szCs w:val="24"/>
        </w:rPr>
        <w:fldChar w:fldCharType="end"/>
      </w:r>
      <w:r w:rsidRPr="00D826C8">
        <w:rPr>
          <w:rFonts w:ascii="Times New Roman" w:hAnsi="Times New Roman"/>
          <w:sz w:val="24"/>
          <w:szCs w:val="24"/>
        </w:rPr>
        <w:t xml:space="preserve">, giant grouper (14.6 %)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{"citationItems":[{"id":"ITEM-1","itemData":{"DOI":"https://doi.org/10.11598/btb.2007.14.2.14","abstract":"Growth hormone (GH) that plays an important role in growth, reproduction, seawater adaptation, and immune function was isolated and sequenced from humpback grouper, Cromileptes altivelis. The cDNA was isolated from pituitary using RT-PCR. The 618 bp open reading frame encodes a 205 amino acid (aa) protein, which represents an 18 aa signal peptide followed by a 187 aa mature GH polypeptide. The fragment contained conserved domain of somatotropinâ€“1, somatotropinâ€“2, casein kinase II phosphorylation, protein kinase C phosphorylation, Nâ€“myristoylation and Nâ€“glycosilation. The similarity of deduced protein of humpback grouper GH was 65.0 - 89.5% with other fishes","author":[{"dropping-particle":"","family":"Syarifudin","given":"M.","non-dropping-particle":"","parse-names":false,"suffix":""},{"dropping-particle":"","family":"Alimuddin","given":"","non-dropping-particle":"","parse-names":false,"suffix":""},{"dropping-particle":"","family":"Widyastuti","given":"U.","non-dropping-particle":"","parse-names":false,"suffix":""},{"dropping-particle":"","family":"Aliah","given":"Ratu Siti","non-dropping-particle":"","parse-names":false,"suffix":""}],"container-title":"Biotropia","id":"ITEM-1","issue":"2","issued":{"date-parts":[["2007"]]},"page":"1-8","title":"cDNA encoding growth hormone from humpbac grouper (Cromileptes altivelis)","type":"article-journal","volume":"14"},"uris":["http://www.mendeley.com/documents/?uuid=e92cce5e-ea7a-4ac4-874a-de2bbd048f20"]}],"mendeley":{"formattedCitation":"(Syarifudin et al., 2007)","plainTextFormattedCitation":"(Syarifudin et al., 2007)","previouslyFormattedCitation":"(Syarifudin et al. 2007)"},"properties":{"noteIndex":0},"schema":"https://github.com/citation-style-language/schema/raw/master/csl-citation.json"}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(Syarifudin </w:t>
      </w:r>
      <w:r w:rsidRPr="00B17142">
        <w:rPr>
          <w:rFonts w:ascii="Times New Roman" w:hAnsi="Times New Roman"/>
          <w:i/>
          <w:iCs/>
          <w:noProof/>
          <w:sz w:val="24"/>
          <w:szCs w:val="24"/>
        </w:rPr>
        <w:t>et al</w:t>
      </w:r>
      <w:r w:rsidRPr="00D826C8">
        <w:rPr>
          <w:rFonts w:ascii="Times New Roman" w:hAnsi="Times New Roman"/>
          <w:noProof/>
          <w:sz w:val="24"/>
          <w:szCs w:val="24"/>
        </w:rPr>
        <w:t>., 2007)</w:t>
      </w:r>
      <w:r w:rsidRPr="00D826C8">
        <w:rPr>
          <w:rFonts w:ascii="Times New Roman" w:hAnsi="Times New Roman"/>
          <w:sz w:val="24"/>
          <w:szCs w:val="24"/>
        </w:rPr>
        <w:fldChar w:fldCharType="end"/>
      </w:r>
      <w:r w:rsidRPr="00D826C8">
        <w:rPr>
          <w:rFonts w:ascii="Times New Roman" w:hAnsi="Times New Roman"/>
          <w:sz w:val="24"/>
          <w:szCs w:val="24"/>
        </w:rPr>
        <w:t xml:space="preserve">, and Tiger shovelnose catfish (16.0 %). The lowest composition of striped catfish and giant grouper has the same amino acid, namely in tryptophan 0.5 % and 0.49 %, respectively, while the lowest GH in Tiger shovelnose catfish was methionine (1.3 %). The amino acid composition of tiger shovelnose catfish is not as complete as that of striped catfish and giant grouper because it does not contain cysteine and tyrosine in R non-polar groups. Cysteine ​​is an amino acid residue conserved in grouper GH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hypophthalmus","type":"article-journal","volume":"4"},"uris":["http://www.mendeley.com/documents/?uuid=ad6a61d6-73ba-48d3-9399-54bda6766dc9"]},{"id":"ITEM-2","itemData":{"DOI":"https://doi.org/10.11598/btb.2007.14.2.14","abstract":"Growth hormone (GH) that plays an important role in growth, reproduction, seawater adaptation, and immune function was isolated and sequenced from humpback grouper, Cromileptes altivelis. The cDNA was isolated from pituitary using RT-PCR. The 618 bp open reading frame encodes a 205 amino acid (aa) protein, which represents an 18 aa signal peptide followed by a 187 aa mature GH polypeptide. The fragment contained conserved domain of somatotropinâ€“1, somatotropinâ€“2, casein kinase II phosphorylation, protein kinase C phosphorylation, Nâ€“myristoylation and Nâ€“glycosilation. The similarity of deduced protein of humpback grouper GH was 65.0 - 89.5% with other fishes","author":[{"dropping-particle":"","family":"Syarifudin","given":"M.","non-dropping-particle":"","parse-names":false,"suffix":""},{"dropping-particle":"","family":"Alimuddin","given":"","non-dropping-particle":"","parse-names":false,"suffix":""},{"dropping-particle":"","family":"Widyastuti","given":"U.","non-dropping-particle":"","parse-names":false,"suffix":""},{"dropping-particle":"","family":"Aliah","given":"Ratu Siti","non-dropping-particle":"","parse-names":false,"suffix":""}],"container-title":"Biotropia","id":"ITEM-2","issue":"2","issued":{"date-parts":[["2007"]]},"page":"1-8","title":"cDNA encoding growth hormone from humpbac grouper (Cromileptes altivelis)","type":"article-journal","volume":"14"},"uris":["http://www.mendeley.com/documents/?uuid=e92cce5e-ea7a-4ac4-874a-de2bbd048f20"]}],"mendeley":{"formattedCitation":"(Dewi et al., 2009; Syarifudin et al., 2007)","plainTextFormattedCitation":"(Dewi et al., 2009; Syarifudin et al., 2007)","previouslyFormattedCitation":"(Dewi et al. 2009; Syarifudin et al. 2007)"},"properties":{"noteIndex":0},"schema":"https://github.com/citation-style-language/schema/raw/master/csl-citation.json"}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(Dewi </w:t>
      </w:r>
      <w:r w:rsidRPr="00B17142">
        <w:rPr>
          <w:rFonts w:ascii="Times New Roman" w:hAnsi="Times New Roman"/>
          <w:i/>
          <w:iCs/>
          <w:noProof/>
          <w:sz w:val="24"/>
          <w:szCs w:val="24"/>
        </w:rPr>
        <w:t>et al</w:t>
      </w:r>
      <w:r w:rsidRPr="00D826C8">
        <w:rPr>
          <w:rFonts w:ascii="Times New Roman" w:hAnsi="Times New Roman"/>
          <w:noProof/>
          <w:sz w:val="24"/>
          <w:szCs w:val="24"/>
        </w:rPr>
        <w:t xml:space="preserve">., 2009; Syarifudin </w:t>
      </w:r>
      <w:r w:rsidRPr="00B17142">
        <w:rPr>
          <w:rFonts w:ascii="Times New Roman" w:hAnsi="Times New Roman"/>
          <w:i/>
          <w:iCs/>
          <w:noProof/>
          <w:sz w:val="24"/>
          <w:szCs w:val="24"/>
        </w:rPr>
        <w:t>et al</w:t>
      </w:r>
      <w:r w:rsidRPr="00D826C8">
        <w:rPr>
          <w:rFonts w:ascii="Times New Roman" w:hAnsi="Times New Roman"/>
          <w:noProof/>
          <w:sz w:val="24"/>
          <w:szCs w:val="24"/>
        </w:rPr>
        <w:t>., 2007)</w:t>
      </w:r>
      <w:r w:rsidRPr="00D826C8">
        <w:rPr>
          <w:rFonts w:ascii="Times New Roman" w:hAnsi="Times New Roman"/>
          <w:sz w:val="24"/>
          <w:szCs w:val="24"/>
        </w:rPr>
        <w:fldChar w:fldCharType="end"/>
      </w:r>
      <w:r w:rsidRPr="00D826C8">
        <w:rPr>
          <w:rFonts w:ascii="Times New Roman" w:hAnsi="Times New Roman"/>
          <w:sz w:val="24"/>
          <w:szCs w:val="24"/>
        </w:rPr>
        <w:t xml:space="preserve">. It is necessary to know the composition of amino acids in the GH gene because this can be used as a reference in the preparation of feed formulations in tiger shovelnose catfish aquaculture. According to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{"citationItems":[{"id":"ITEM-1","itemData":{"DOI":"10.15578/iaj.4.1.2009.9-17","ISSN":"0215-0883","abstract":"Identification of growth hormone (GH) gene in a target fish is the first step in the construction of “all fish genes transfer vector” to generate transgenic fish. The research was done to identify and characterize the GH gene of Pangasionodon hypophthalmus. There were several activities performed in identifying the GH gene: RNA extraction, cDNA synthesis, PCR amplification, and DNA fragment isolation. The characterizations were done using the nucleotide sequencing engine ABIPRISM 3100. The results were then analyzed using BLASTN/P and GENETYX version 7 program. The full-length GH gene of P. hypophthalmus was 1151 bp in length, coding for an open reading frame (ORF) of 603 bp. The 5’ and 3’ untranslated regions of the GH gene were 22 bp and 526 bp long, respectively. The GH gene of P. hypophthalmus had some common characteristics that are owned by GH genes, such as single tryptophan residue (W) on the 104th amino acid, 5 cysteine residues (C) on the amino acid 71, 135, 173, 190, and 198 and a motif of Asn-Xaa-Thr on C terminus which is the potential location for N-linked glycosilation. Polyadenylation signal (aataaa) was on the 14 bp at the upstream of polyadenylation location. Growth hormone of P. hypophthalmus consisted of over 200 amino acids from GH cDNA deduction. The highest proportion of amino acid composition was leusin (14%) while the lowest was tryptophan (0.5%).","author":[{"dropping-particle":"","family":"Dewi","given":"Raden Roro Sri Pudji Sinarni","non-dropping-particle":"","parse-names":false,"suffix":""},{"dropping-particle":"","family":"Sudrajat","given":"Agus Oman","non-dropping-particle":"","parse-names":false,"suffix":""},{"dropping-particle":"","family":"Alimuddin","given":"","non-dropping-particle":"","parse-names":false,"suffix":""},{"dropping-particle":"","family":"Sumantadinata","given":"Komar","non-dropping-particle":"","parse-names":false,"suffix":""}],"container-title":"Indonesian Aquaculture Journal","id":"ITEM-1","issue":"1","issued":{"date-parts":[["2009"]]},"page":"9-17","title":"Identification of growth hormone gene of Pangasionodon hypophthalmus","type":"article-journal","volume":"4"},"uris":["http://www.mendeley.com/documents/?uuid=ad6a61d6-73ba-48d3-9399-54bda6766dc9"]}],"mendeley":{"formattedCitation":"(Dewi et al., 2009)","manualFormatting":"Dewi et al. (2009)","plainTextFormattedCitation":"(Dewi et al., 2009)","previouslyFormattedCitation":"(Dewi et al. 2009)"},"properties":{"noteIndex":0},"schema":"https://github.com/citation-style-language/schema/raw/master/csl-citation.json"}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Dewi </w:t>
      </w:r>
      <w:r w:rsidRPr="00B17142">
        <w:rPr>
          <w:rFonts w:ascii="Times New Roman" w:hAnsi="Times New Roman"/>
          <w:i/>
          <w:iCs/>
          <w:noProof/>
          <w:sz w:val="24"/>
          <w:szCs w:val="24"/>
        </w:rPr>
        <w:t>et al</w:t>
      </w:r>
      <w:r w:rsidRPr="00D826C8">
        <w:rPr>
          <w:rFonts w:ascii="Times New Roman" w:hAnsi="Times New Roman"/>
          <w:noProof/>
          <w:sz w:val="24"/>
          <w:szCs w:val="24"/>
        </w:rPr>
        <w:t>. (2009)</w:t>
      </w:r>
      <w:r w:rsidRPr="00D826C8">
        <w:rPr>
          <w:rFonts w:ascii="Times New Roman" w:hAnsi="Times New Roman"/>
          <w:sz w:val="24"/>
          <w:szCs w:val="24"/>
        </w:rPr>
        <w:fldChar w:fldCharType="end"/>
      </w:r>
      <w:r w:rsidRPr="00D826C8">
        <w:rPr>
          <w:rFonts w:ascii="Times New Roman" w:hAnsi="Times New Roman"/>
          <w:sz w:val="24"/>
          <w:szCs w:val="24"/>
        </w:rPr>
        <w:t xml:space="preserve">, fish cannot synthesize essential amino acids, so their needs must be supported by protein in feed containing essential amino acids. Under normal physiological conditions, GH is secreted by the pituitary, thereby triggering the production of IGF-1 in the liver and other tissues. It can promote growth and especially metabolism by stimulating IGF-1 receptors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{"citationItems":[{"id":"ITEM-1","itemData":{"DOI":"https://doi.org/10.1007/s10126-020-10012-5","author":[{"dropping-particle":"","family":"Chan","given":"M. T. T.","non-dropping-particle":"","parse-names":false,"suffix":""},{"dropping-particle":"","family":"Muttray","given":"A.","non-dropping-particle":"","parse-names":false,"suffix":""},{"dropping-particle":"","family":"Sakhrani","given":"D.","non-dropping-particle":"","parse-names":false,"suffix":""},{"dropping-particle":"","family":"Woodward","given":"K.","non-dropping-particle":"","parse-names":false,"suffix":""},{"dropping-particle":"","family":"Kim","given":"J-H.","non-dropping-particle":"","parse-names":false,"suffix":""},{"dropping-particle":"","family":"Christensen","given":"K.A.","non-dropping-particle":"","parse-names":false,"suffix":""},{"dropping-particle":"","family":"Koop","given":"B.F.","non-dropping-particle":"","parse-names":false,"suffix":""},{"dropping-particle":"","family":"Devlin","given":"R.H.","non-dropping-particle":"","parse-names":false,"suffix":""}],"container-title":"Marine Biotechnology","id":"ITEM-1","issued":{"date-parts":[["2021"]]},"page":"140-148","title":"Sexually Dimorphic Growth Stimulation in a Strain of Growth Hormone Transgenic Coho Salmon (Oncorhynchus kisutch).","type":"article-journal","volume":"23"},"uris":["http://www.mendeley.com/documents/?uuid=ac8433f7-0b2c-47b7-b31d-33e080cab25e"]},{"id":"ITEM-2","itemData":{"DOI":"10.1016/S0074-7696(05)43004-1","ISSN":"0074-7696 (Print)","PMID":"15797461","abstract":"The insulin-like growth factor (IGF) system plays a central role in the  neuroendocrine regulation of growth in all vertebrates. Evidence from studies in a variety of vertebrate species suggest that this growth factor complex, composed of ligands, receptors, and high-affinity binding proteins, evolved early during vertebrate evolution. Among nonmammalian vertebrates, IGF signaling has been studied most extensively in fish, particularly teleosts of commercial importance. The unique life history characteristics associated with their primarily aquatic existence has fortuitously led to the identification of novel functions of the IGF system that are not evident from studies in mammals and other tetrapod vertebrates. Furthermore, the emergence of the zebrafish as a preferred model for development genetics has spawned progress in determining the requirements for IGF signaling during vertebrate embryonic development. This review is intended as a summary of our understanding of IGF signaling, as revealed through research into the expression, function, and evolution of IGF ligands, receptors, and binding proteins in fish.","author":[{"dropping-particle":"","family":"Wood","given":"Antony W","non-dropping-particle":"","parse-names":false,"suffix":""},{"dropping-particle":"","family":"Duan","given":"Cunming","non-dropping-particle":"","parse-names":false,"suffix":""},{"dropping-particle":"","family":"Bern","given":"Howard A","non-dropping-particle":"","parse-names":false,"suffix":""}],"container-title":"International review of cytology","id":"ITEM-2","issued":{"date-parts":[["2005"]]},"language":"eng","page":"215-285","publisher-place":"United States","title":"Insulin-like growth factor signaling in fish.","type":"article-journal","volume":"243"},"uris":["http://www.mendeley.com/documents/?uuid=70ab11d4-f79d-445b-8e64-7e4c5ed28402"]}],"mendeley":{"formattedCitation":"(Chan et al., 2021; Wood et al., 2005)","plainTextFormattedCitation":"(Chan et al., 2021; Wood et al., 2005)","previouslyFormattedCitation":"(Chan et al. 2021; Wood, Duan, and Bern 2005)"},"properties":{"noteIndex":0},"schema":"https://github.com/citation-style-language/schema/raw/master/csl-citation.json"}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 xml:space="preserve">(Chan </w:t>
      </w:r>
      <w:r w:rsidRPr="00B17142">
        <w:rPr>
          <w:rFonts w:ascii="Times New Roman" w:hAnsi="Times New Roman"/>
          <w:i/>
          <w:iCs/>
          <w:noProof/>
          <w:sz w:val="24"/>
          <w:szCs w:val="24"/>
        </w:rPr>
        <w:t>et al</w:t>
      </w:r>
      <w:r w:rsidRPr="00D826C8">
        <w:rPr>
          <w:rFonts w:ascii="Times New Roman" w:hAnsi="Times New Roman"/>
          <w:noProof/>
          <w:sz w:val="24"/>
          <w:szCs w:val="24"/>
        </w:rPr>
        <w:t xml:space="preserve">., 2021; Wood </w:t>
      </w:r>
      <w:r w:rsidRPr="00B17142">
        <w:rPr>
          <w:rFonts w:ascii="Times New Roman" w:hAnsi="Times New Roman"/>
          <w:i/>
          <w:iCs/>
          <w:noProof/>
          <w:sz w:val="24"/>
          <w:szCs w:val="24"/>
        </w:rPr>
        <w:t>et al</w:t>
      </w:r>
      <w:r w:rsidRPr="00D826C8">
        <w:rPr>
          <w:rFonts w:ascii="Times New Roman" w:hAnsi="Times New Roman"/>
          <w:noProof/>
          <w:sz w:val="24"/>
          <w:szCs w:val="24"/>
        </w:rPr>
        <w:t>., 2005)</w:t>
      </w:r>
      <w:r w:rsidRPr="00D826C8">
        <w:rPr>
          <w:rFonts w:ascii="Times New Roman" w:hAnsi="Times New Roman"/>
          <w:sz w:val="24"/>
          <w:szCs w:val="24"/>
        </w:rPr>
        <w:fldChar w:fldCharType="end"/>
      </w:r>
      <w:r w:rsidRPr="00D826C8">
        <w:rPr>
          <w:rFonts w:ascii="Times New Roman" w:hAnsi="Times New Roman"/>
          <w:sz w:val="24"/>
          <w:szCs w:val="24"/>
        </w:rPr>
        <w:t>.</w:t>
      </w:r>
    </w:p>
    <w:p w14:paraId="3E49AC6C" w14:textId="403B0FA0" w:rsidR="00DB1A3F" w:rsidRPr="00D826C8" w:rsidRDefault="00DB1A3F" w:rsidP="00F4256B">
      <w:pPr>
        <w:spacing w:line="240" w:lineRule="auto"/>
        <w:jc w:val="center"/>
        <w:rPr>
          <w:rFonts w:ascii="Times New Roman" w:hAnsi="Times New Roman"/>
          <w:sz w:val="24"/>
          <w:szCs w:val="24"/>
        </w:rPr>
      </w:pPr>
      <w:r w:rsidRPr="00D826C8">
        <w:rPr>
          <w:rFonts w:ascii="Times New Roman" w:hAnsi="Times New Roman"/>
          <w:noProof/>
          <w:sz w:val="24"/>
          <w:szCs w:val="24"/>
        </w:rPr>
        <w:drawing>
          <wp:inline distT="0" distB="0" distL="0" distR="0" wp14:anchorId="34D352E1" wp14:editId="6AEF8310">
            <wp:extent cx="5309978" cy="26289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a:extLst>
                        <a:ext uri="{28A0092B-C50C-407E-A947-70E740481C1C}">
                          <a14:useLocalDpi xmlns:a14="http://schemas.microsoft.com/office/drawing/2010/main" val="0"/>
                        </a:ext>
                      </a:extLst>
                    </a:blip>
                    <a:srcRect l="2602" t="14360" r="1284" b="15056"/>
                    <a:stretch/>
                  </pic:blipFill>
                  <pic:spPr bwMode="auto">
                    <a:xfrm>
                      <a:off x="0" y="0"/>
                      <a:ext cx="5354345" cy="2650865"/>
                    </a:xfrm>
                    <a:prstGeom prst="rect">
                      <a:avLst/>
                    </a:prstGeom>
                    <a:ln>
                      <a:noFill/>
                    </a:ln>
                    <a:extLst>
                      <a:ext uri="{53640926-AAD7-44D8-BBD7-CCE9431645EC}">
                        <a14:shadowObscured xmlns:a14="http://schemas.microsoft.com/office/drawing/2010/main"/>
                      </a:ext>
                    </a:extLst>
                  </pic:spPr>
                </pic:pic>
              </a:graphicData>
            </a:graphic>
          </wp:inline>
        </w:drawing>
      </w:r>
    </w:p>
    <w:p w14:paraId="59AECA04" w14:textId="654BFB71" w:rsidR="000F4F26" w:rsidRPr="00D826C8" w:rsidRDefault="00C51DE7" w:rsidP="001533D6">
      <w:pPr>
        <w:spacing w:line="240" w:lineRule="auto"/>
        <w:ind w:left="993" w:hanging="993"/>
        <w:jc w:val="both"/>
        <w:rPr>
          <w:rFonts w:ascii="Times New Roman" w:hAnsi="Times New Roman"/>
          <w:sz w:val="24"/>
          <w:szCs w:val="24"/>
        </w:rPr>
      </w:pPr>
      <w:r w:rsidRPr="00D826C8">
        <w:rPr>
          <w:rFonts w:ascii="Times New Roman" w:hAnsi="Times New Roman"/>
          <w:sz w:val="24"/>
          <w:szCs w:val="24"/>
        </w:rPr>
        <w:lastRenderedPageBreak/>
        <w:t>Fig</w:t>
      </w:r>
      <w:r w:rsidR="001533D6">
        <w:rPr>
          <w:rFonts w:ascii="Times New Roman" w:hAnsi="Times New Roman"/>
          <w:sz w:val="24"/>
          <w:szCs w:val="24"/>
        </w:rPr>
        <w:t>ure</w:t>
      </w:r>
      <w:r w:rsidR="000F4F26" w:rsidRPr="00D826C8">
        <w:rPr>
          <w:rFonts w:ascii="Times New Roman" w:hAnsi="Times New Roman"/>
          <w:sz w:val="24"/>
          <w:szCs w:val="24"/>
        </w:rPr>
        <w:t xml:space="preserve"> 7. Phylogenetic relationship between Tiger shovelnose catfish GH and all species in one order or outgroup using the Neighbor-Joining method, the number shows the bootstrap value.</w:t>
      </w:r>
    </w:p>
    <w:p w14:paraId="159B774E" w14:textId="77777777" w:rsidR="0018256B" w:rsidRPr="00D826C8" w:rsidRDefault="0018256B" w:rsidP="0018256B">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t xml:space="preserve">The phylogenetic relationship between the evolutionary history of the GH gene was analyzed using the Neighbor-Joining method. This analysis involved 20 nucleotide sequences representing the GH gene in 20 species consisting of 4 orders, namely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w:t>
      </w:r>
      <w:proofErr w:type="spellStart"/>
      <w:r w:rsidRPr="00D826C8">
        <w:rPr>
          <w:rFonts w:ascii="Times New Roman" w:hAnsi="Times New Roman"/>
          <w:sz w:val="24"/>
          <w:szCs w:val="24"/>
        </w:rPr>
        <w:t>Cypriniformes</w:t>
      </w:r>
      <w:proofErr w:type="spellEnd"/>
      <w:r w:rsidRPr="00D826C8">
        <w:rPr>
          <w:rFonts w:ascii="Times New Roman" w:hAnsi="Times New Roman"/>
          <w:sz w:val="24"/>
          <w:szCs w:val="24"/>
        </w:rPr>
        <w:t xml:space="preserve">, Perciformes, and </w:t>
      </w:r>
      <w:proofErr w:type="spellStart"/>
      <w:r w:rsidRPr="00D826C8">
        <w:rPr>
          <w:rFonts w:ascii="Times New Roman" w:hAnsi="Times New Roman"/>
          <w:sz w:val="24"/>
          <w:szCs w:val="24"/>
        </w:rPr>
        <w:t>Tetraodontiformes</w:t>
      </w:r>
      <w:proofErr w:type="spellEnd"/>
      <w:r w:rsidRPr="00D826C8">
        <w:rPr>
          <w:rFonts w:ascii="Times New Roman" w:hAnsi="Times New Roman"/>
          <w:sz w:val="24"/>
          <w:szCs w:val="24"/>
        </w:rPr>
        <w:t xml:space="preserve"> as outgroups. The percentage of replicate trees in which related taxa clustered together in the bootstrap test (500 replicates) is shown next to the branch. The evolutionary distance was calculated using Kimura’s 2-parameter method and in base substitutions per location units. </w:t>
      </w:r>
    </w:p>
    <w:p w14:paraId="5D059532" w14:textId="4C2435A1" w:rsidR="00D612CC" w:rsidRDefault="00D612CC" w:rsidP="00990E2D">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t xml:space="preserve">Phylogenetic analysis is to compare the GH gene of Tiger shovelnose catfish with several fish species from several order groups, with the furthest order being GH from the Order </w:t>
      </w:r>
      <w:proofErr w:type="spellStart"/>
      <w:r w:rsidRPr="00D826C8">
        <w:rPr>
          <w:rFonts w:ascii="Times New Roman" w:hAnsi="Times New Roman"/>
          <w:sz w:val="24"/>
          <w:szCs w:val="24"/>
        </w:rPr>
        <w:t>Tetraodontiformes</w:t>
      </w:r>
      <w:proofErr w:type="spellEnd"/>
      <w:r w:rsidRPr="00D826C8">
        <w:rPr>
          <w:rFonts w:ascii="Times New Roman" w:hAnsi="Times New Roman"/>
          <w:sz w:val="24"/>
          <w:szCs w:val="24"/>
        </w:rPr>
        <w:t xml:space="preserve"> as the outgroup. The analysis results show that the GH gene in Tiger shovelnose catfish was between </w:t>
      </w:r>
      <w:r w:rsidR="00162CC9" w:rsidRPr="00D826C8">
        <w:rPr>
          <w:rFonts w:ascii="Times New Roman" w:hAnsi="Times New Roman"/>
          <w:sz w:val="24"/>
          <w:szCs w:val="24"/>
        </w:rPr>
        <w:t>two</w:t>
      </w:r>
      <w:r w:rsidRPr="00D826C8">
        <w:rPr>
          <w:rFonts w:ascii="Times New Roman" w:hAnsi="Times New Roman"/>
          <w:sz w:val="24"/>
          <w:szCs w:val="24"/>
        </w:rPr>
        <w:t xml:space="preserve"> clades of orders, namely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and </w:t>
      </w:r>
      <w:proofErr w:type="spellStart"/>
      <w:r w:rsidRPr="00D826C8">
        <w:rPr>
          <w:rFonts w:ascii="Times New Roman" w:hAnsi="Times New Roman"/>
          <w:sz w:val="24"/>
          <w:szCs w:val="24"/>
        </w:rPr>
        <w:t>Cypriniformes</w:t>
      </w:r>
      <w:proofErr w:type="spellEnd"/>
      <w:r w:rsidRPr="00D826C8">
        <w:rPr>
          <w:rFonts w:ascii="Times New Roman" w:hAnsi="Times New Roman"/>
          <w:sz w:val="24"/>
          <w:szCs w:val="24"/>
        </w:rPr>
        <w:t xml:space="preserve">. The closest relationship between the two clades of the order was with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a type of catfish. The Tiger shovelnose catfish is still a catfish of the order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The link between the GH gene of the Tiger shovelnose catfish and the GH gene of other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was not seen in the same clade but separated by the presence of a clade from the order </w:t>
      </w:r>
      <w:proofErr w:type="spellStart"/>
      <w:r w:rsidRPr="00D826C8">
        <w:rPr>
          <w:rFonts w:ascii="Times New Roman" w:hAnsi="Times New Roman"/>
          <w:sz w:val="24"/>
          <w:szCs w:val="24"/>
        </w:rPr>
        <w:t>Cypriniformes</w:t>
      </w:r>
      <w:proofErr w:type="spellEnd"/>
      <w:r w:rsidRPr="00D826C8">
        <w:rPr>
          <w:rFonts w:ascii="Times New Roman" w:hAnsi="Times New Roman"/>
          <w:sz w:val="24"/>
          <w:szCs w:val="24"/>
        </w:rPr>
        <w:t xml:space="preserve">. The relationship between the Tiger shovelnose catfish GH gene and the order Perciformes was further seen because it does not belong to the same clade. This can be observed more deeply by looking at the nucleotide sequence alignment of several species of GH genes in the order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with the GH of Tiger shovelnose catfish (named </w:t>
      </w:r>
      <w:proofErr w:type="spellStart"/>
      <w:r w:rsidR="00B169B0" w:rsidRPr="00D826C8">
        <w:rPr>
          <w:rFonts w:ascii="Times New Roman" w:hAnsi="Times New Roman"/>
          <w:sz w:val="24"/>
          <w:szCs w:val="24"/>
        </w:rPr>
        <w:t>p</w:t>
      </w:r>
      <w:r w:rsidRPr="00D826C8">
        <w:rPr>
          <w:rFonts w:ascii="Times New Roman" w:hAnsi="Times New Roman"/>
          <w:sz w:val="24"/>
          <w:szCs w:val="24"/>
        </w:rPr>
        <w:t>sGH</w:t>
      </w:r>
      <w:proofErr w:type="spellEnd"/>
      <w:r w:rsidRPr="00D826C8">
        <w:rPr>
          <w:rFonts w:ascii="Times New Roman" w:hAnsi="Times New Roman"/>
          <w:sz w:val="24"/>
          <w:szCs w:val="24"/>
        </w:rPr>
        <w:t>) (</w:t>
      </w:r>
      <w:r w:rsidR="00C73349">
        <w:rPr>
          <w:rFonts w:ascii="Times New Roman" w:hAnsi="Times New Roman"/>
          <w:sz w:val="24"/>
          <w:szCs w:val="24"/>
        </w:rPr>
        <w:t>Figure</w:t>
      </w:r>
      <w:r w:rsidRPr="00D826C8">
        <w:rPr>
          <w:rFonts w:ascii="Times New Roman" w:hAnsi="Times New Roman"/>
          <w:sz w:val="24"/>
          <w:szCs w:val="24"/>
        </w:rPr>
        <w:t xml:space="preserve"> 8). </w:t>
      </w:r>
    </w:p>
    <w:p w14:paraId="79D907E2" w14:textId="1610536D" w:rsidR="0018256B" w:rsidRDefault="0018256B" w:rsidP="00990E2D">
      <w:pPr>
        <w:spacing w:line="240" w:lineRule="auto"/>
        <w:ind w:firstLine="720"/>
        <w:contextualSpacing/>
        <w:jc w:val="both"/>
        <w:rPr>
          <w:rFonts w:ascii="Times New Roman" w:hAnsi="Times New Roman"/>
          <w:sz w:val="24"/>
          <w:szCs w:val="24"/>
        </w:rPr>
      </w:pPr>
    </w:p>
    <w:p w14:paraId="366E5E83" w14:textId="77777777" w:rsidR="0018256B" w:rsidRPr="00D826C8" w:rsidRDefault="0018256B" w:rsidP="0018256B">
      <w:pPr>
        <w:spacing w:line="240" w:lineRule="auto"/>
        <w:jc w:val="both"/>
        <w:rPr>
          <w:rFonts w:ascii="Times New Roman" w:hAnsi="Times New Roman"/>
          <w:sz w:val="24"/>
          <w:szCs w:val="24"/>
        </w:rPr>
      </w:pPr>
      <w:r w:rsidRPr="00D826C8">
        <w:rPr>
          <w:rFonts w:ascii="Times New Roman" w:hAnsi="Times New Roman"/>
          <w:noProof/>
          <w:sz w:val="24"/>
          <w:szCs w:val="24"/>
        </w:rPr>
        <w:lastRenderedPageBreak/>
        <w:drawing>
          <wp:inline distT="0" distB="0" distL="0" distR="0" wp14:anchorId="6B17DE30" wp14:editId="0DB3D04D">
            <wp:extent cx="5302250" cy="54229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2695" r="32198"/>
                    <a:stretch>
                      <a:fillRect/>
                    </a:stretch>
                  </pic:blipFill>
                  <pic:spPr bwMode="auto">
                    <a:xfrm>
                      <a:off x="0" y="0"/>
                      <a:ext cx="5302250" cy="5422900"/>
                    </a:xfrm>
                    <a:prstGeom prst="rect">
                      <a:avLst/>
                    </a:prstGeom>
                    <a:noFill/>
                    <a:ln>
                      <a:noFill/>
                    </a:ln>
                  </pic:spPr>
                </pic:pic>
              </a:graphicData>
            </a:graphic>
          </wp:inline>
        </w:drawing>
      </w:r>
    </w:p>
    <w:p w14:paraId="432C9A9C" w14:textId="77777777" w:rsidR="0018256B" w:rsidRPr="00D826C8" w:rsidRDefault="0018256B" w:rsidP="0018256B">
      <w:pPr>
        <w:spacing w:line="240" w:lineRule="auto"/>
        <w:ind w:left="851" w:hanging="851"/>
        <w:jc w:val="both"/>
        <w:rPr>
          <w:rFonts w:ascii="Times New Roman" w:hAnsi="Times New Roman"/>
          <w:sz w:val="24"/>
          <w:szCs w:val="24"/>
        </w:rPr>
      </w:pPr>
      <w:r w:rsidRPr="00D826C8">
        <w:rPr>
          <w:rFonts w:ascii="Times New Roman" w:hAnsi="Times New Roman"/>
          <w:sz w:val="24"/>
          <w:szCs w:val="24"/>
        </w:rPr>
        <w:t>Fig</w:t>
      </w:r>
      <w:r>
        <w:rPr>
          <w:rFonts w:ascii="Times New Roman" w:hAnsi="Times New Roman"/>
          <w:sz w:val="24"/>
          <w:szCs w:val="24"/>
        </w:rPr>
        <w:t xml:space="preserve">ure </w:t>
      </w:r>
      <w:r w:rsidRPr="00D826C8">
        <w:rPr>
          <w:rFonts w:ascii="Times New Roman" w:hAnsi="Times New Roman"/>
          <w:sz w:val="24"/>
          <w:szCs w:val="24"/>
        </w:rPr>
        <w:t>8. Alignment of the GH gene sequences of 5 catfish species with the GH of the Tiger shovelnose catfish (</w:t>
      </w:r>
      <w:proofErr w:type="spellStart"/>
      <w:r w:rsidRPr="00D826C8">
        <w:rPr>
          <w:rFonts w:ascii="Times New Roman" w:hAnsi="Times New Roman"/>
          <w:sz w:val="24"/>
          <w:szCs w:val="24"/>
        </w:rPr>
        <w:t>psGH</w:t>
      </w:r>
      <w:proofErr w:type="spellEnd"/>
      <w:r w:rsidRPr="00D826C8">
        <w:rPr>
          <w:rFonts w:ascii="Times New Roman" w:hAnsi="Times New Roman"/>
          <w:sz w:val="24"/>
          <w:szCs w:val="24"/>
        </w:rPr>
        <w:t xml:space="preserve">) in the Order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and the GH gene (</w:t>
      </w:r>
      <w:proofErr w:type="spellStart"/>
      <w:r w:rsidRPr="00D826C8">
        <w:rPr>
          <w:rFonts w:ascii="Times New Roman" w:hAnsi="Times New Roman"/>
          <w:sz w:val="24"/>
          <w:szCs w:val="24"/>
        </w:rPr>
        <w:t>ccGH</w:t>
      </w:r>
      <w:proofErr w:type="spellEnd"/>
      <w:r w:rsidRPr="00D826C8">
        <w:rPr>
          <w:rFonts w:ascii="Times New Roman" w:hAnsi="Times New Roman"/>
          <w:sz w:val="24"/>
          <w:szCs w:val="24"/>
        </w:rPr>
        <w:t xml:space="preserve">) of the Cyprinus </w:t>
      </w:r>
      <w:proofErr w:type="spellStart"/>
      <w:r w:rsidRPr="00D826C8">
        <w:rPr>
          <w:rFonts w:ascii="Times New Roman" w:hAnsi="Times New Roman"/>
          <w:sz w:val="24"/>
          <w:szCs w:val="24"/>
        </w:rPr>
        <w:t>carpio</w:t>
      </w:r>
      <w:proofErr w:type="spellEnd"/>
      <w:r w:rsidRPr="00D826C8">
        <w:rPr>
          <w:rFonts w:ascii="Times New Roman" w:hAnsi="Times New Roman"/>
          <w:sz w:val="24"/>
          <w:szCs w:val="24"/>
        </w:rPr>
        <w:t xml:space="preserve"> species (out group representing the order </w:t>
      </w:r>
      <w:proofErr w:type="spellStart"/>
      <w:r w:rsidRPr="00D826C8">
        <w:rPr>
          <w:rFonts w:ascii="Times New Roman" w:hAnsi="Times New Roman"/>
          <w:sz w:val="24"/>
          <w:szCs w:val="24"/>
        </w:rPr>
        <w:t>Cypriniformes</w:t>
      </w:r>
      <w:proofErr w:type="spellEnd"/>
      <w:r w:rsidRPr="00D826C8">
        <w:rPr>
          <w:rFonts w:ascii="Times New Roman" w:hAnsi="Times New Roman"/>
          <w:sz w:val="24"/>
          <w:szCs w:val="24"/>
        </w:rPr>
        <w:t>).</w:t>
      </w:r>
    </w:p>
    <w:p w14:paraId="21343667" w14:textId="77777777" w:rsidR="0018256B" w:rsidRPr="00D826C8" w:rsidRDefault="0018256B" w:rsidP="0018256B">
      <w:pPr>
        <w:spacing w:line="240" w:lineRule="auto"/>
        <w:ind w:left="567" w:hanging="567"/>
        <w:jc w:val="both"/>
        <w:rPr>
          <w:rFonts w:ascii="Times New Roman" w:hAnsi="Times New Roman"/>
          <w:sz w:val="24"/>
          <w:szCs w:val="24"/>
        </w:rPr>
      </w:pPr>
      <w:r w:rsidRPr="00D826C8">
        <w:rPr>
          <w:rFonts w:ascii="Times New Roman" w:hAnsi="Times New Roman"/>
          <w:sz w:val="24"/>
          <w:szCs w:val="24"/>
        </w:rPr>
        <w:t xml:space="preserve">Note: The sign (*) above is the similarity of five species of catfish to the </w:t>
      </w:r>
      <w:proofErr w:type="spellStart"/>
      <w:r w:rsidRPr="00D826C8">
        <w:rPr>
          <w:rFonts w:ascii="Times New Roman" w:hAnsi="Times New Roman"/>
          <w:sz w:val="24"/>
          <w:szCs w:val="24"/>
        </w:rPr>
        <w:t>psGH</w:t>
      </w:r>
      <w:proofErr w:type="spellEnd"/>
      <w:r w:rsidRPr="00D826C8">
        <w:rPr>
          <w:rFonts w:ascii="Times New Roman" w:hAnsi="Times New Roman"/>
          <w:sz w:val="24"/>
          <w:szCs w:val="24"/>
        </w:rPr>
        <w:t xml:space="preserve"> gene; The sign (*) below represents the similarity of 5 species of catfish plus </w:t>
      </w:r>
      <w:proofErr w:type="spellStart"/>
      <w:r w:rsidRPr="00D826C8">
        <w:rPr>
          <w:rFonts w:ascii="Times New Roman" w:hAnsi="Times New Roman"/>
          <w:sz w:val="24"/>
          <w:szCs w:val="24"/>
        </w:rPr>
        <w:t>ccGH</w:t>
      </w:r>
      <w:proofErr w:type="spellEnd"/>
      <w:r w:rsidRPr="00D826C8">
        <w:rPr>
          <w:rFonts w:ascii="Times New Roman" w:hAnsi="Times New Roman"/>
          <w:sz w:val="24"/>
          <w:szCs w:val="24"/>
        </w:rPr>
        <w:t xml:space="preserve"> to the </w:t>
      </w:r>
      <w:proofErr w:type="spellStart"/>
      <w:r w:rsidRPr="00D826C8">
        <w:rPr>
          <w:rFonts w:ascii="Times New Roman" w:hAnsi="Times New Roman"/>
          <w:sz w:val="24"/>
          <w:szCs w:val="24"/>
        </w:rPr>
        <w:t>psGH</w:t>
      </w:r>
      <w:proofErr w:type="spellEnd"/>
      <w:r w:rsidRPr="00D826C8">
        <w:rPr>
          <w:rFonts w:ascii="Times New Roman" w:hAnsi="Times New Roman"/>
          <w:sz w:val="24"/>
          <w:szCs w:val="24"/>
        </w:rPr>
        <w:t xml:space="preserve"> gene. (</w:t>
      </w:r>
      <w:proofErr w:type="spellStart"/>
      <w:r w:rsidRPr="00D826C8">
        <w:rPr>
          <w:rFonts w:ascii="Times New Roman" w:hAnsi="Times New Roman"/>
          <w:sz w:val="24"/>
          <w:szCs w:val="24"/>
        </w:rPr>
        <w:t>pgGH</w:t>
      </w:r>
      <w:proofErr w:type="spellEnd"/>
      <w:r w:rsidRPr="00D826C8">
        <w:rPr>
          <w:rFonts w:ascii="Times New Roman" w:hAnsi="Times New Roman"/>
          <w:sz w:val="24"/>
          <w:szCs w:val="24"/>
        </w:rPr>
        <w:t xml:space="preserve"> = </w:t>
      </w:r>
      <w:proofErr w:type="spellStart"/>
      <w:r w:rsidRPr="00D826C8">
        <w:rPr>
          <w:rFonts w:ascii="Times New Roman" w:hAnsi="Times New Roman"/>
          <w:i/>
          <w:iCs/>
          <w:sz w:val="24"/>
          <w:szCs w:val="24"/>
        </w:rPr>
        <w:t>Pangasianodon</w:t>
      </w:r>
      <w:proofErr w:type="spellEnd"/>
      <w:r w:rsidRPr="00D826C8">
        <w:rPr>
          <w:rFonts w:ascii="Times New Roman" w:hAnsi="Times New Roman"/>
          <w:i/>
          <w:iCs/>
          <w:sz w:val="24"/>
          <w:szCs w:val="24"/>
        </w:rPr>
        <w:t xml:space="preserve"> gigas</w:t>
      </w:r>
      <w:r w:rsidRPr="00D826C8">
        <w:rPr>
          <w:rFonts w:ascii="Times New Roman" w:hAnsi="Times New Roman"/>
          <w:sz w:val="24"/>
          <w:szCs w:val="24"/>
        </w:rPr>
        <w:t xml:space="preserve"> GH, </w:t>
      </w:r>
      <w:proofErr w:type="spellStart"/>
      <w:r w:rsidRPr="00D826C8">
        <w:rPr>
          <w:rFonts w:ascii="Times New Roman" w:hAnsi="Times New Roman"/>
          <w:sz w:val="24"/>
          <w:szCs w:val="24"/>
        </w:rPr>
        <w:t>ipGH</w:t>
      </w:r>
      <w:proofErr w:type="spellEnd"/>
      <w:r w:rsidRPr="00D826C8">
        <w:rPr>
          <w:rFonts w:ascii="Times New Roman" w:hAnsi="Times New Roman"/>
          <w:sz w:val="24"/>
          <w:szCs w:val="24"/>
        </w:rPr>
        <w:t xml:space="preserve"> = </w:t>
      </w:r>
      <w:proofErr w:type="spellStart"/>
      <w:r w:rsidRPr="00D826C8">
        <w:rPr>
          <w:rFonts w:ascii="Times New Roman" w:hAnsi="Times New Roman"/>
          <w:i/>
          <w:iCs/>
          <w:sz w:val="24"/>
          <w:szCs w:val="24"/>
        </w:rPr>
        <w:t>Ictalurus</w:t>
      </w:r>
      <w:proofErr w:type="spellEnd"/>
      <w:r w:rsidRPr="00D826C8">
        <w:rPr>
          <w:rFonts w:ascii="Times New Roman" w:hAnsi="Times New Roman"/>
          <w:i/>
          <w:iCs/>
          <w:sz w:val="24"/>
          <w:szCs w:val="24"/>
        </w:rPr>
        <w:t xml:space="preserve"> punctatus</w:t>
      </w:r>
      <w:r w:rsidRPr="00D826C8">
        <w:rPr>
          <w:rFonts w:ascii="Times New Roman" w:hAnsi="Times New Roman"/>
          <w:sz w:val="24"/>
          <w:szCs w:val="24"/>
        </w:rPr>
        <w:t xml:space="preserve"> GH, </w:t>
      </w:r>
      <w:proofErr w:type="spellStart"/>
      <w:r w:rsidRPr="00D826C8">
        <w:rPr>
          <w:rFonts w:ascii="Times New Roman" w:hAnsi="Times New Roman"/>
          <w:sz w:val="24"/>
          <w:szCs w:val="24"/>
        </w:rPr>
        <w:t>hpGH</w:t>
      </w:r>
      <w:proofErr w:type="spellEnd"/>
      <w:r w:rsidRPr="00D826C8">
        <w:rPr>
          <w:rFonts w:ascii="Times New Roman" w:hAnsi="Times New Roman"/>
          <w:sz w:val="24"/>
          <w:szCs w:val="24"/>
        </w:rPr>
        <w:t xml:space="preserve"> = </w:t>
      </w:r>
      <w:proofErr w:type="spellStart"/>
      <w:r w:rsidRPr="00D826C8">
        <w:rPr>
          <w:rFonts w:ascii="Times New Roman" w:hAnsi="Times New Roman"/>
          <w:i/>
          <w:iCs/>
          <w:sz w:val="24"/>
          <w:szCs w:val="24"/>
        </w:rPr>
        <w:t>Heteropneustes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fossilis</w:t>
      </w:r>
      <w:proofErr w:type="spellEnd"/>
      <w:r w:rsidRPr="00D826C8">
        <w:rPr>
          <w:rFonts w:ascii="Times New Roman" w:hAnsi="Times New Roman"/>
          <w:sz w:val="24"/>
          <w:szCs w:val="24"/>
        </w:rPr>
        <w:t xml:space="preserve"> GH, </w:t>
      </w:r>
      <w:proofErr w:type="spellStart"/>
      <w:r w:rsidRPr="00D826C8">
        <w:rPr>
          <w:rFonts w:ascii="Times New Roman" w:hAnsi="Times New Roman"/>
          <w:sz w:val="24"/>
          <w:szCs w:val="24"/>
        </w:rPr>
        <w:t>cgGH</w:t>
      </w:r>
      <w:proofErr w:type="spellEnd"/>
      <w:r w:rsidRPr="00D826C8">
        <w:rPr>
          <w:rFonts w:ascii="Times New Roman" w:hAnsi="Times New Roman"/>
          <w:sz w:val="24"/>
          <w:szCs w:val="24"/>
        </w:rPr>
        <w:t xml:space="preserve"> = </w:t>
      </w:r>
      <w:proofErr w:type="spellStart"/>
      <w:r w:rsidRPr="00D826C8">
        <w:rPr>
          <w:rFonts w:ascii="Times New Roman" w:hAnsi="Times New Roman"/>
          <w:i/>
          <w:iCs/>
          <w:sz w:val="24"/>
          <w:szCs w:val="24"/>
        </w:rPr>
        <w:t>Clarias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gariepinus</w:t>
      </w:r>
      <w:proofErr w:type="spellEnd"/>
      <w:r w:rsidRPr="00D826C8">
        <w:rPr>
          <w:rFonts w:ascii="Times New Roman" w:hAnsi="Times New Roman"/>
          <w:sz w:val="24"/>
          <w:szCs w:val="24"/>
        </w:rPr>
        <w:t xml:space="preserve"> GH, </w:t>
      </w:r>
      <w:proofErr w:type="spellStart"/>
      <w:r w:rsidRPr="00D826C8">
        <w:rPr>
          <w:rFonts w:ascii="Times New Roman" w:hAnsi="Times New Roman"/>
          <w:sz w:val="24"/>
          <w:szCs w:val="24"/>
        </w:rPr>
        <w:t>pfGH</w:t>
      </w:r>
      <w:proofErr w:type="spellEnd"/>
      <w:r w:rsidRPr="00D826C8">
        <w:rPr>
          <w:rFonts w:ascii="Times New Roman" w:hAnsi="Times New Roman"/>
          <w:sz w:val="24"/>
          <w:szCs w:val="24"/>
        </w:rPr>
        <w:t xml:space="preserve"> = </w:t>
      </w:r>
      <w:proofErr w:type="spellStart"/>
      <w:r w:rsidRPr="00D826C8">
        <w:rPr>
          <w:rFonts w:ascii="Times New Roman" w:hAnsi="Times New Roman"/>
          <w:i/>
          <w:iCs/>
          <w:sz w:val="24"/>
          <w:szCs w:val="24"/>
        </w:rPr>
        <w:t>Pelteobagrus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fulvidraco</w:t>
      </w:r>
      <w:proofErr w:type="spellEnd"/>
      <w:r w:rsidRPr="00D826C8">
        <w:rPr>
          <w:rFonts w:ascii="Times New Roman" w:hAnsi="Times New Roman"/>
          <w:sz w:val="24"/>
          <w:szCs w:val="24"/>
        </w:rPr>
        <w:t xml:space="preserve"> GH, </w:t>
      </w:r>
      <w:proofErr w:type="spellStart"/>
      <w:r w:rsidRPr="00D826C8">
        <w:rPr>
          <w:rFonts w:ascii="Times New Roman" w:hAnsi="Times New Roman"/>
          <w:sz w:val="24"/>
          <w:szCs w:val="24"/>
        </w:rPr>
        <w:t>psGH</w:t>
      </w:r>
      <w:proofErr w:type="spellEnd"/>
      <w:r w:rsidRPr="00D826C8">
        <w:rPr>
          <w:rFonts w:ascii="Times New Roman" w:hAnsi="Times New Roman"/>
          <w:sz w:val="24"/>
          <w:szCs w:val="24"/>
        </w:rPr>
        <w:t xml:space="preserve"> = (</w:t>
      </w:r>
      <w:proofErr w:type="spellStart"/>
      <w:r w:rsidRPr="00D826C8">
        <w:rPr>
          <w:rFonts w:ascii="Times New Roman" w:hAnsi="Times New Roman"/>
          <w:i/>
          <w:iCs/>
          <w:sz w:val="24"/>
          <w:szCs w:val="24"/>
        </w:rPr>
        <w:t>Pseudoplatystoma</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fasciatum</w:t>
      </w:r>
      <w:proofErr w:type="spellEnd"/>
      <w:r w:rsidRPr="00D826C8">
        <w:rPr>
          <w:rFonts w:ascii="Times New Roman" w:hAnsi="Times New Roman"/>
          <w:sz w:val="24"/>
          <w:szCs w:val="24"/>
        </w:rPr>
        <w:t xml:space="preserve"> Linnaeus, 1766) GH, and </w:t>
      </w:r>
      <w:proofErr w:type="spellStart"/>
      <w:r w:rsidRPr="00D826C8">
        <w:rPr>
          <w:rFonts w:ascii="Times New Roman" w:hAnsi="Times New Roman"/>
          <w:sz w:val="24"/>
          <w:szCs w:val="24"/>
        </w:rPr>
        <w:t>ccGH</w:t>
      </w:r>
      <w:proofErr w:type="spellEnd"/>
      <w:r w:rsidRPr="00D826C8">
        <w:rPr>
          <w:rFonts w:ascii="Times New Roman" w:hAnsi="Times New Roman"/>
          <w:sz w:val="24"/>
          <w:szCs w:val="24"/>
        </w:rPr>
        <w:t xml:space="preserve"> = </w:t>
      </w:r>
      <w:r w:rsidRPr="00D826C8">
        <w:rPr>
          <w:rFonts w:ascii="Times New Roman" w:hAnsi="Times New Roman"/>
          <w:i/>
          <w:iCs/>
          <w:sz w:val="24"/>
          <w:szCs w:val="24"/>
        </w:rPr>
        <w:t xml:space="preserve">Cyprinus </w:t>
      </w:r>
      <w:proofErr w:type="spellStart"/>
      <w:r w:rsidRPr="00D826C8">
        <w:rPr>
          <w:rFonts w:ascii="Times New Roman" w:hAnsi="Times New Roman"/>
          <w:i/>
          <w:iCs/>
          <w:sz w:val="24"/>
          <w:szCs w:val="24"/>
        </w:rPr>
        <w:t>carpinus</w:t>
      </w:r>
      <w:proofErr w:type="spellEnd"/>
      <w:r w:rsidRPr="00D826C8">
        <w:rPr>
          <w:rFonts w:ascii="Times New Roman" w:hAnsi="Times New Roman"/>
          <w:sz w:val="24"/>
          <w:szCs w:val="24"/>
        </w:rPr>
        <w:t>).</w:t>
      </w:r>
    </w:p>
    <w:p w14:paraId="25C44C29" w14:textId="77777777" w:rsidR="0018256B" w:rsidRPr="00D826C8" w:rsidRDefault="0018256B" w:rsidP="0018256B">
      <w:pPr>
        <w:spacing w:line="240" w:lineRule="auto"/>
        <w:ind w:firstLine="720"/>
        <w:jc w:val="both"/>
        <w:rPr>
          <w:rFonts w:ascii="Times New Roman" w:hAnsi="Times New Roman"/>
          <w:sz w:val="24"/>
          <w:szCs w:val="24"/>
        </w:rPr>
      </w:pPr>
      <w:r w:rsidRPr="00D826C8">
        <w:rPr>
          <w:rFonts w:ascii="Times New Roman" w:hAnsi="Times New Roman"/>
          <w:sz w:val="24"/>
          <w:szCs w:val="24"/>
        </w:rPr>
        <w:t xml:space="preserve">Sequence alignment results from 6 species of the order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including Tiger shovelnose catfish, 241 bp and 98 bp have similar sequences. The alignment was also compared with the GH gene from the carp (</w:t>
      </w:r>
      <w:r w:rsidRPr="00D826C8">
        <w:rPr>
          <w:rFonts w:ascii="Times New Roman" w:hAnsi="Times New Roman"/>
          <w:i/>
          <w:iCs/>
          <w:sz w:val="24"/>
          <w:szCs w:val="24"/>
        </w:rPr>
        <w:t xml:space="preserve">Cyprinus </w:t>
      </w:r>
      <w:proofErr w:type="spellStart"/>
      <w:r w:rsidRPr="00D826C8">
        <w:rPr>
          <w:rFonts w:ascii="Times New Roman" w:hAnsi="Times New Roman"/>
          <w:i/>
          <w:iCs/>
          <w:sz w:val="24"/>
          <w:szCs w:val="24"/>
        </w:rPr>
        <w:t>carpio</w:t>
      </w:r>
      <w:proofErr w:type="spellEnd"/>
      <w:r w:rsidRPr="00D826C8">
        <w:rPr>
          <w:rFonts w:ascii="Times New Roman" w:hAnsi="Times New Roman"/>
          <w:sz w:val="24"/>
          <w:szCs w:val="24"/>
        </w:rPr>
        <w:t xml:space="preserve">) with the code </w:t>
      </w:r>
      <w:proofErr w:type="spellStart"/>
      <w:r w:rsidRPr="00D826C8">
        <w:rPr>
          <w:rFonts w:ascii="Times New Roman" w:hAnsi="Times New Roman"/>
          <w:sz w:val="24"/>
          <w:szCs w:val="24"/>
        </w:rPr>
        <w:t>ccGH</w:t>
      </w:r>
      <w:proofErr w:type="spellEnd"/>
      <w:r w:rsidRPr="00D826C8">
        <w:rPr>
          <w:rFonts w:ascii="Times New Roman" w:hAnsi="Times New Roman"/>
          <w:sz w:val="24"/>
          <w:szCs w:val="24"/>
        </w:rPr>
        <w:t xml:space="preserve">, compared to the order </w:t>
      </w:r>
      <w:proofErr w:type="spellStart"/>
      <w:r w:rsidRPr="00D826C8">
        <w:rPr>
          <w:rFonts w:ascii="Times New Roman" w:hAnsi="Times New Roman"/>
          <w:sz w:val="24"/>
          <w:szCs w:val="24"/>
        </w:rPr>
        <w:t>Cypriniformes</w:t>
      </w:r>
      <w:proofErr w:type="spellEnd"/>
      <w:r w:rsidRPr="00D826C8">
        <w:rPr>
          <w:rFonts w:ascii="Times New Roman" w:hAnsi="Times New Roman"/>
          <w:sz w:val="24"/>
          <w:szCs w:val="24"/>
        </w:rPr>
        <w:t xml:space="preserve">. After adding the </w:t>
      </w:r>
      <w:proofErr w:type="spellStart"/>
      <w:r w:rsidRPr="00D826C8">
        <w:rPr>
          <w:rFonts w:ascii="Times New Roman" w:hAnsi="Times New Roman"/>
          <w:sz w:val="24"/>
          <w:szCs w:val="24"/>
        </w:rPr>
        <w:t>ccGH</w:t>
      </w:r>
      <w:proofErr w:type="spellEnd"/>
      <w:r w:rsidRPr="00D826C8">
        <w:rPr>
          <w:rFonts w:ascii="Times New Roman" w:hAnsi="Times New Roman"/>
          <w:sz w:val="24"/>
          <w:szCs w:val="24"/>
        </w:rPr>
        <w:t xml:space="preserve"> </w:t>
      </w:r>
      <w:r w:rsidRPr="00D826C8">
        <w:rPr>
          <w:rFonts w:ascii="Times New Roman" w:hAnsi="Times New Roman"/>
          <w:sz w:val="24"/>
          <w:szCs w:val="24"/>
        </w:rPr>
        <w:lastRenderedPageBreak/>
        <w:t xml:space="preserve">gene (the GH </w:t>
      </w:r>
      <w:r w:rsidRPr="00D826C8">
        <w:rPr>
          <w:rFonts w:ascii="Times New Roman" w:hAnsi="Times New Roman"/>
          <w:i/>
          <w:iCs/>
          <w:sz w:val="24"/>
          <w:szCs w:val="24"/>
        </w:rPr>
        <w:t xml:space="preserve">Cyprinus </w:t>
      </w:r>
      <w:proofErr w:type="spellStart"/>
      <w:r w:rsidRPr="00D826C8">
        <w:rPr>
          <w:rFonts w:ascii="Times New Roman" w:hAnsi="Times New Roman"/>
          <w:i/>
          <w:iCs/>
          <w:sz w:val="24"/>
          <w:szCs w:val="24"/>
        </w:rPr>
        <w:t>carpio</w:t>
      </w:r>
      <w:proofErr w:type="spellEnd"/>
      <w:r w:rsidRPr="00D826C8">
        <w:rPr>
          <w:rFonts w:ascii="Times New Roman" w:hAnsi="Times New Roman"/>
          <w:sz w:val="24"/>
          <w:szCs w:val="24"/>
        </w:rPr>
        <w:t xml:space="preserve"> gene), there were 271 bp alignments with 78 nucleotide sequences similar. This indicates that between GH genes in both orders, the </w:t>
      </w:r>
      <w:proofErr w:type="spellStart"/>
      <w:r w:rsidRPr="00D826C8">
        <w:rPr>
          <w:rFonts w:ascii="Times New Roman" w:hAnsi="Times New Roman"/>
          <w:sz w:val="24"/>
          <w:szCs w:val="24"/>
        </w:rPr>
        <w:t>psGH</w:t>
      </w:r>
      <w:proofErr w:type="spellEnd"/>
      <w:r w:rsidRPr="00D826C8">
        <w:rPr>
          <w:rFonts w:ascii="Times New Roman" w:hAnsi="Times New Roman"/>
          <w:sz w:val="24"/>
          <w:szCs w:val="24"/>
        </w:rPr>
        <w:t xml:space="preserve"> gene is more closely related to the clade in the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group with a nucleotide similarity of 40.6 %. On the contrary, with the order </w:t>
      </w:r>
      <w:proofErr w:type="spellStart"/>
      <w:r w:rsidRPr="00D826C8">
        <w:rPr>
          <w:rFonts w:ascii="Times New Roman" w:hAnsi="Times New Roman"/>
          <w:sz w:val="24"/>
          <w:szCs w:val="24"/>
        </w:rPr>
        <w:t>Cypriniformes</w:t>
      </w:r>
      <w:proofErr w:type="spellEnd"/>
      <w:r w:rsidRPr="00D826C8">
        <w:rPr>
          <w:rFonts w:ascii="Times New Roman" w:hAnsi="Times New Roman"/>
          <w:sz w:val="24"/>
          <w:szCs w:val="24"/>
        </w:rPr>
        <w:t xml:space="preserve">, the nucleotide similarity was 28.7 %. The </w:t>
      </w:r>
      <w:proofErr w:type="spellStart"/>
      <w:r w:rsidRPr="00D826C8">
        <w:rPr>
          <w:rFonts w:ascii="Times New Roman" w:hAnsi="Times New Roman"/>
          <w:sz w:val="24"/>
          <w:szCs w:val="24"/>
        </w:rPr>
        <w:t>psGH</w:t>
      </w:r>
      <w:proofErr w:type="spellEnd"/>
      <w:r w:rsidRPr="00D826C8">
        <w:rPr>
          <w:rFonts w:ascii="Times New Roman" w:hAnsi="Times New Roman"/>
          <w:sz w:val="24"/>
          <w:szCs w:val="24"/>
        </w:rPr>
        <w:t xml:space="preserve"> gene does have a low resemblance to other GH genes, especially goldfish, which have different orders so that the phylogeny tree does not belong to the clade </w:t>
      </w:r>
      <w:proofErr w:type="spellStart"/>
      <w:r w:rsidRPr="00D826C8">
        <w:rPr>
          <w:rFonts w:ascii="Times New Roman" w:hAnsi="Times New Roman"/>
          <w:sz w:val="24"/>
          <w:szCs w:val="24"/>
        </w:rPr>
        <w:t>Siluriformes</w:t>
      </w:r>
      <w:proofErr w:type="spellEnd"/>
      <w:r w:rsidRPr="00D826C8">
        <w:rPr>
          <w:rFonts w:ascii="Times New Roman" w:hAnsi="Times New Roman"/>
          <w:sz w:val="24"/>
          <w:szCs w:val="24"/>
        </w:rPr>
        <w:t xml:space="preserve">. This is due to divergent growth hormone genes, which is explained by the high conservation and, accordingly, weak phylogenetic signal and low resolution between closely related species </w:t>
      </w:r>
      <w:r w:rsidRPr="00D826C8">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{"citationItems":[{"id":"ITEM-1","itemData":{"DOI":"10.1134/S1063074020040033","ISSN":"16083377","abstract":"Abstract: This review provides information on the structure of growth hormone genes (GHGs) in fish and the divergence of coding, intron, and adjacent flanking regions; original data obtained in our laboratory are also considered. In most fish species, GHGs are represented by a single copy, while some taxonomic groups have two paralogous genes. The coding sequences of GHGs are conserved. Gene length variations depend on the length of non-coding and flanking regions and introns. The divergence rate of gene sequences varies not only between different taxonomic groups, but also in the time of divergence within groups. In flanking regions, only the regulatory elements are conserved.","author":[{"dropping-particle":"","family":"Kamenskaya","given":"D. N.","non-dropping-particle":"","parse-names":false,"suffix":""},{"dropping-particle":"","family":"Brykov","given":"V. A.","non-dropping-particle":"","parse-names":false,"suffix":""}],"container-title":"Russian Journal of Marine Biology","id":"ITEM-1","issue":"4","issued":{"date-parts":[["2020"]]},"page":"233-242","title":"Fish Growth Hormone Genes: Structure and Divergence","type":"article-journal","volume":"46"},"uris":["http://www.mendeley.com/documents/?uuid=d1e7241e-7f7a-45e3-ba7d-28d1708b34b8"]}],"mendeley":{"formattedCitation":"(Kamenskaya &amp; Brykov, 2020)","plainTextFormattedCitation":"(Kamenskaya &amp; Brykov, 2020)","previouslyFormattedCitation":"(Kamenskaya and Brykov 2020)"},"properties":{"noteIndex":0},"schema":"https://github.com/citation-style-language/schema/raw/master/csl-citation.json"}</w:instrText>
      </w:r>
      <w:r w:rsidRPr="00D826C8">
        <w:rPr>
          <w:rFonts w:ascii="Times New Roman" w:hAnsi="Times New Roman"/>
          <w:sz w:val="24"/>
          <w:szCs w:val="24"/>
        </w:rPr>
        <w:fldChar w:fldCharType="separate"/>
      </w:r>
      <w:r w:rsidRPr="00D826C8">
        <w:rPr>
          <w:rFonts w:ascii="Times New Roman" w:hAnsi="Times New Roman"/>
          <w:noProof/>
          <w:sz w:val="24"/>
          <w:szCs w:val="24"/>
        </w:rPr>
        <w:t>(Kamenskaya &amp; Brykov, 2020)</w:t>
      </w:r>
      <w:r w:rsidRPr="00D826C8">
        <w:rPr>
          <w:rFonts w:ascii="Times New Roman" w:hAnsi="Times New Roman"/>
          <w:sz w:val="24"/>
          <w:szCs w:val="24"/>
        </w:rPr>
        <w:fldChar w:fldCharType="end"/>
      </w:r>
      <w:r w:rsidRPr="00D826C8">
        <w:rPr>
          <w:rFonts w:ascii="Times New Roman" w:hAnsi="Times New Roman"/>
          <w:sz w:val="24"/>
          <w:szCs w:val="24"/>
        </w:rPr>
        <w:t>.</w:t>
      </w:r>
    </w:p>
    <w:p w14:paraId="3A398CDC" w14:textId="3603FE6E"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BLAST analysis was performed to determine the similarity of the sequences obtained with the GH gene data in the Gene Bank. Based on the results of the BLAST analysis on NCBI, homology was between the GH gene of Tiger shovelnose catfish and the GH gene in several fish species that were still in the same order (Table 2.). The homology level was ranged from 89.3</w:t>
      </w:r>
      <w:r w:rsidR="00552FBC" w:rsidRPr="00D826C8">
        <w:rPr>
          <w:rFonts w:ascii="Times New Roman" w:hAnsi="Times New Roman"/>
          <w:sz w:val="24"/>
          <w:szCs w:val="24"/>
        </w:rPr>
        <w:t xml:space="preserve"> % </w:t>
      </w:r>
      <w:r w:rsidRPr="00D826C8">
        <w:rPr>
          <w:rFonts w:ascii="Times New Roman" w:hAnsi="Times New Roman"/>
          <w:sz w:val="24"/>
          <w:szCs w:val="24"/>
        </w:rPr>
        <w:t>to 90.6</w:t>
      </w:r>
      <w:r w:rsidR="00552FBC" w:rsidRPr="00D826C8">
        <w:rPr>
          <w:rFonts w:ascii="Times New Roman" w:hAnsi="Times New Roman"/>
          <w:sz w:val="24"/>
          <w:szCs w:val="24"/>
        </w:rPr>
        <w:t xml:space="preserve"> </w:t>
      </w:r>
      <w:r w:rsidRPr="00D826C8">
        <w:rPr>
          <w:rFonts w:ascii="Times New Roman" w:hAnsi="Times New Roman"/>
          <w:sz w:val="24"/>
          <w:szCs w:val="24"/>
        </w:rPr>
        <w:t xml:space="preserve">%. The highest similarity of the GH gene of the Tiger shovelnose catfish was with the catfish species </w:t>
      </w:r>
      <w:proofErr w:type="spellStart"/>
      <w:r w:rsidRPr="00D826C8">
        <w:rPr>
          <w:rFonts w:ascii="Times New Roman" w:hAnsi="Times New Roman"/>
          <w:i/>
          <w:iCs/>
          <w:sz w:val="24"/>
          <w:szCs w:val="24"/>
        </w:rPr>
        <w:t>Pangasianodon</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hypophthalmus</w:t>
      </w:r>
      <w:proofErr w:type="spellEnd"/>
      <w:r w:rsidRPr="00D826C8">
        <w:rPr>
          <w:rFonts w:ascii="Times New Roman" w:hAnsi="Times New Roman"/>
          <w:sz w:val="24"/>
          <w:szCs w:val="24"/>
        </w:rPr>
        <w:t xml:space="preserve"> and catfish (</w:t>
      </w:r>
      <w:proofErr w:type="spellStart"/>
      <w:r w:rsidRPr="00D826C8">
        <w:rPr>
          <w:rFonts w:ascii="Times New Roman" w:hAnsi="Times New Roman"/>
          <w:i/>
          <w:iCs/>
          <w:sz w:val="24"/>
          <w:szCs w:val="24"/>
        </w:rPr>
        <w:t>Clarias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batracus</w:t>
      </w:r>
      <w:proofErr w:type="spellEnd"/>
      <w:r w:rsidRPr="00D826C8">
        <w:rPr>
          <w:rFonts w:ascii="Times New Roman" w:hAnsi="Times New Roman"/>
          <w:sz w:val="24"/>
          <w:szCs w:val="24"/>
        </w:rPr>
        <w:t xml:space="preserve">). </w:t>
      </w:r>
    </w:p>
    <w:p w14:paraId="6EB0A396" w14:textId="77777777" w:rsidR="000F4F26" w:rsidRPr="00D826C8" w:rsidRDefault="000F4F26" w:rsidP="00990E2D">
      <w:pPr>
        <w:spacing w:line="240" w:lineRule="auto"/>
        <w:ind w:left="851" w:hanging="851"/>
        <w:jc w:val="both"/>
        <w:rPr>
          <w:rFonts w:ascii="Times New Roman" w:hAnsi="Times New Roman"/>
          <w:b/>
          <w:bCs/>
          <w:sz w:val="24"/>
          <w:szCs w:val="24"/>
        </w:rPr>
      </w:pPr>
      <w:r w:rsidRPr="001533D6">
        <w:rPr>
          <w:rFonts w:ascii="Times New Roman" w:hAnsi="Times New Roman"/>
          <w:sz w:val="24"/>
          <w:szCs w:val="24"/>
        </w:rPr>
        <w:t>Table 2.</w:t>
      </w:r>
      <w:r w:rsidRPr="00D826C8">
        <w:rPr>
          <w:rFonts w:ascii="Times New Roman" w:hAnsi="Times New Roman"/>
          <w:b/>
          <w:bCs/>
          <w:sz w:val="24"/>
          <w:szCs w:val="24"/>
        </w:rPr>
        <w:t xml:space="preserve"> </w:t>
      </w:r>
      <w:r w:rsidRPr="00D826C8">
        <w:rPr>
          <w:rFonts w:ascii="Times New Roman" w:hAnsi="Times New Roman"/>
          <w:sz w:val="24"/>
          <w:szCs w:val="24"/>
        </w:rPr>
        <w:t xml:space="preserve">Percentage of homology of Tiger shovelnose catfish against several species that are still in the same order. </w:t>
      </w:r>
    </w:p>
    <w:tbl>
      <w:tblPr>
        <w:tblStyle w:val="ListTable6Colorful"/>
        <w:tblW w:w="7796" w:type="dxa"/>
        <w:tblLook w:val="04A0" w:firstRow="1" w:lastRow="0" w:firstColumn="1" w:lastColumn="0" w:noHBand="0" w:noVBand="1"/>
      </w:tblPr>
      <w:tblGrid>
        <w:gridCol w:w="2127"/>
        <w:gridCol w:w="993"/>
        <w:gridCol w:w="1984"/>
        <w:gridCol w:w="1133"/>
        <w:gridCol w:w="1559"/>
      </w:tblGrid>
      <w:tr w:rsidR="000F4F26" w:rsidRPr="00F4256B" w14:paraId="270858B6" w14:textId="77777777" w:rsidTr="00677A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98092D4" w14:textId="77777777" w:rsidR="000F4F26" w:rsidRPr="00F4256B" w:rsidRDefault="000F4F26" w:rsidP="00990E2D">
            <w:pPr>
              <w:jc w:val="both"/>
              <w:rPr>
                <w:rFonts w:ascii="Times New Roman" w:hAnsi="Times New Roman"/>
              </w:rPr>
            </w:pPr>
            <w:r w:rsidRPr="00F4256B">
              <w:rPr>
                <w:rFonts w:ascii="Times New Roman" w:hAnsi="Times New Roman"/>
              </w:rPr>
              <w:t>Name of species</w:t>
            </w:r>
          </w:p>
        </w:tc>
        <w:tc>
          <w:tcPr>
            <w:tcW w:w="993" w:type="dxa"/>
          </w:tcPr>
          <w:p w14:paraId="248D80B2" w14:textId="71BBC52A" w:rsidR="000F4F26" w:rsidRPr="00F4256B" w:rsidRDefault="000F4F26" w:rsidP="00FD18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Gen GH</w:t>
            </w:r>
          </w:p>
        </w:tc>
        <w:tc>
          <w:tcPr>
            <w:tcW w:w="1984" w:type="dxa"/>
          </w:tcPr>
          <w:p w14:paraId="638EF08C" w14:textId="77777777" w:rsidR="000F4F26" w:rsidRPr="00F4256B" w:rsidRDefault="000F4F26" w:rsidP="00FD18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Accession number</w:t>
            </w:r>
          </w:p>
        </w:tc>
        <w:tc>
          <w:tcPr>
            <w:tcW w:w="1133" w:type="dxa"/>
          </w:tcPr>
          <w:p w14:paraId="7DAF1A6D" w14:textId="77777777" w:rsidR="000F4F26" w:rsidRPr="00F4256B" w:rsidRDefault="000F4F26" w:rsidP="00FD18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Query cover (%)</w:t>
            </w:r>
          </w:p>
        </w:tc>
        <w:tc>
          <w:tcPr>
            <w:tcW w:w="1559" w:type="dxa"/>
          </w:tcPr>
          <w:p w14:paraId="4195B332" w14:textId="77777777" w:rsidR="000F4F26" w:rsidRPr="00F4256B" w:rsidRDefault="000F4F26" w:rsidP="00FD18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Homology (%)</w:t>
            </w:r>
          </w:p>
        </w:tc>
      </w:tr>
      <w:tr w:rsidR="000F4F26" w:rsidRPr="00F4256B" w14:paraId="0D8B125F" w14:textId="77777777" w:rsidTr="00677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64005E7" w14:textId="77777777" w:rsidR="000F4F26" w:rsidRPr="00677A25" w:rsidRDefault="000F4F26" w:rsidP="00990E2D">
            <w:pPr>
              <w:jc w:val="both"/>
              <w:rPr>
                <w:rFonts w:ascii="Times New Roman" w:hAnsi="Times New Roman"/>
                <w:b w:val="0"/>
                <w:bCs w:val="0"/>
                <w:i/>
                <w:iCs/>
              </w:rPr>
            </w:pPr>
            <w:proofErr w:type="spellStart"/>
            <w:r w:rsidRPr="00677A25">
              <w:rPr>
                <w:rFonts w:ascii="Times New Roman" w:hAnsi="Times New Roman"/>
                <w:b w:val="0"/>
                <w:bCs w:val="0"/>
                <w:i/>
                <w:iCs/>
              </w:rPr>
              <w:t>Pangasianodon</w:t>
            </w:r>
            <w:proofErr w:type="spellEnd"/>
            <w:r w:rsidRPr="00677A25">
              <w:rPr>
                <w:rFonts w:ascii="Times New Roman" w:hAnsi="Times New Roman"/>
                <w:b w:val="0"/>
                <w:bCs w:val="0"/>
                <w:i/>
                <w:iCs/>
              </w:rPr>
              <w:t xml:space="preserve"> gigas </w:t>
            </w:r>
          </w:p>
        </w:tc>
        <w:tc>
          <w:tcPr>
            <w:tcW w:w="993" w:type="dxa"/>
            <w:shd w:val="clear" w:color="auto" w:fill="auto"/>
          </w:tcPr>
          <w:p w14:paraId="612F22D7"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mRNA</w:t>
            </w:r>
          </w:p>
        </w:tc>
        <w:tc>
          <w:tcPr>
            <w:tcW w:w="1984" w:type="dxa"/>
            <w:shd w:val="clear" w:color="auto" w:fill="auto"/>
          </w:tcPr>
          <w:p w14:paraId="68588D96"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L27835.1</w:t>
            </w:r>
          </w:p>
        </w:tc>
        <w:tc>
          <w:tcPr>
            <w:tcW w:w="1133" w:type="dxa"/>
            <w:shd w:val="clear" w:color="auto" w:fill="auto"/>
          </w:tcPr>
          <w:p w14:paraId="283C9A85"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55</w:t>
            </w:r>
          </w:p>
        </w:tc>
        <w:tc>
          <w:tcPr>
            <w:tcW w:w="1559" w:type="dxa"/>
            <w:shd w:val="clear" w:color="auto" w:fill="auto"/>
          </w:tcPr>
          <w:p w14:paraId="3800B0CA"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90.17</w:t>
            </w:r>
          </w:p>
        </w:tc>
      </w:tr>
      <w:tr w:rsidR="000F4F26" w:rsidRPr="00F4256B" w14:paraId="00CA69AC" w14:textId="77777777" w:rsidTr="00677A25">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B4C89F3" w14:textId="77777777" w:rsidR="000F4F26" w:rsidRPr="00677A25" w:rsidRDefault="000F4F26" w:rsidP="00990E2D">
            <w:pPr>
              <w:jc w:val="both"/>
              <w:rPr>
                <w:rFonts w:ascii="Times New Roman" w:hAnsi="Times New Roman"/>
                <w:b w:val="0"/>
                <w:bCs w:val="0"/>
                <w:i/>
                <w:iCs/>
              </w:rPr>
            </w:pPr>
            <w:proofErr w:type="spellStart"/>
            <w:r w:rsidRPr="00677A25">
              <w:rPr>
                <w:rFonts w:ascii="Times New Roman" w:hAnsi="Times New Roman"/>
                <w:b w:val="0"/>
                <w:bCs w:val="0"/>
                <w:i/>
                <w:iCs/>
              </w:rPr>
              <w:t>Ictalurus</w:t>
            </w:r>
            <w:proofErr w:type="spellEnd"/>
            <w:r w:rsidRPr="00677A25">
              <w:rPr>
                <w:rFonts w:ascii="Times New Roman" w:hAnsi="Times New Roman"/>
                <w:b w:val="0"/>
                <w:bCs w:val="0"/>
                <w:i/>
                <w:iCs/>
              </w:rPr>
              <w:t xml:space="preserve"> </w:t>
            </w:r>
            <w:proofErr w:type="spellStart"/>
            <w:r w:rsidRPr="00677A25">
              <w:rPr>
                <w:rFonts w:ascii="Times New Roman" w:hAnsi="Times New Roman"/>
                <w:b w:val="0"/>
                <w:bCs w:val="0"/>
                <w:i/>
                <w:iCs/>
              </w:rPr>
              <w:t>puntatus</w:t>
            </w:r>
            <w:proofErr w:type="spellEnd"/>
            <w:r w:rsidRPr="00677A25">
              <w:rPr>
                <w:rFonts w:ascii="Times New Roman" w:hAnsi="Times New Roman"/>
                <w:b w:val="0"/>
                <w:bCs w:val="0"/>
                <w:i/>
                <w:iCs/>
              </w:rPr>
              <w:t xml:space="preserve"> </w:t>
            </w:r>
          </w:p>
        </w:tc>
        <w:tc>
          <w:tcPr>
            <w:tcW w:w="993" w:type="dxa"/>
            <w:shd w:val="clear" w:color="auto" w:fill="auto"/>
          </w:tcPr>
          <w:p w14:paraId="3254F509"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mRNA</w:t>
            </w:r>
          </w:p>
        </w:tc>
        <w:tc>
          <w:tcPr>
            <w:tcW w:w="1984" w:type="dxa"/>
            <w:shd w:val="clear" w:color="auto" w:fill="auto"/>
          </w:tcPr>
          <w:p w14:paraId="0049383C"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NM_001200245.1</w:t>
            </w:r>
          </w:p>
        </w:tc>
        <w:tc>
          <w:tcPr>
            <w:tcW w:w="1133" w:type="dxa"/>
            <w:shd w:val="clear" w:color="auto" w:fill="auto"/>
          </w:tcPr>
          <w:p w14:paraId="13FF00BC"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55</w:t>
            </w:r>
          </w:p>
        </w:tc>
        <w:tc>
          <w:tcPr>
            <w:tcW w:w="1559" w:type="dxa"/>
            <w:shd w:val="clear" w:color="auto" w:fill="auto"/>
          </w:tcPr>
          <w:p w14:paraId="38CBE2D9"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89.74</w:t>
            </w:r>
          </w:p>
        </w:tc>
      </w:tr>
      <w:tr w:rsidR="000F4F26" w:rsidRPr="00F4256B" w14:paraId="0A0CD1E3" w14:textId="77777777" w:rsidTr="00677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70449212" w14:textId="77777777" w:rsidR="000F4F26" w:rsidRPr="00677A25" w:rsidRDefault="000F4F26" w:rsidP="00990E2D">
            <w:pPr>
              <w:jc w:val="both"/>
              <w:rPr>
                <w:rFonts w:ascii="Times New Roman" w:hAnsi="Times New Roman"/>
                <w:b w:val="0"/>
                <w:bCs w:val="0"/>
                <w:i/>
                <w:iCs/>
              </w:rPr>
            </w:pPr>
            <w:proofErr w:type="spellStart"/>
            <w:r w:rsidRPr="00677A25">
              <w:rPr>
                <w:rFonts w:ascii="Times New Roman" w:hAnsi="Times New Roman"/>
                <w:b w:val="0"/>
                <w:bCs w:val="0"/>
                <w:i/>
                <w:iCs/>
              </w:rPr>
              <w:t>Clarias</w:t>
            </w:r>
            <w:proofErr w:type="spellEnd"/>
            <w:r w:rsidRPr="00677A25">
              <w:rPr>
                <w:rFonts w:ascii="Times New Roman" w:hAnsi="Times New Roman"/>
                <w:b w:val="0"/>
                <w:bCs w:val="0"/>
                <w:i/>
                <w:iCs/>
              </w:rPr>
              <w:t xml:space="preserve"> </w:t>
            </w:r>
            <w:proofErr w:type="spellStart"/>
            <w:r w:rsidRPr="00677A25">
              <w:rPr>
                <w:rFonts w:ascii="Times New Roman" w:hAnsi="Times New Roman"/>
                <w:b w:val="0"/>
                <w:bCs w:val="0"/>
                <w:i/>
                <w:iCs/>
              </w:rPr>
              <w:t>gariepinus</w:t>
            </w:r>
            <w:proofErr w:type="spellEnd"/>
            <w:r w:rsidRPr="00677A25">
              <w:rPr>
                <w:rFonts w:ascii="Times New Roman" w:hAnsi="Times New Roman"/>
                <w:b w:val="0"/>
                <w:bCs w:val="0"/>
                <w:i/>
                <w:iCs/>
              </w:rPr>
              <w:t xml:space="preserve"> </w:t>
            </w:r>
          </w:p>
        </w:tc>
        <w:tc>
          <w:tcPr>
            <w:tcW w:w="993" w:type="dxa"/>
            <w:shd w:val="clear" w:color="auto" w:fill="auto"/>
          </w:tcPr>
          <w:p w14:paraId="11A4AB4A"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mRNA</w:t>
            </w:r>
          </w:p>
        </w:tc>
        <w:tc>
          <w:tcPr>
            <w:tcW w:w="1984" w:type="dxa"/>
            <w:shd w:val="clear" w:color="auto" w:fill="auto"/>
          </w:tcPr>
          <w:p w14:paraId="754BE05D"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FJ823972.1</w:t>
            </w:r>
          </w:p>
        </w:tc>
        <w:tc>
          <w:tcPr>
            <w:tcW w:w="1133" w:type="dxa"/>
            <w:shd w:val="clear" w:color="auto" w:fill="auto"/>
          </w:tcPr>
          <w:p w14:paraId="7AEB4F9C"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55</w:t>
            </w:r>
          </w:p>
        </w:tc>
        <w:tc>
          <w:tcPr>
            <w:tcW w:w="1559" w:type="dxa"/>
            <w:shd w:val="clear" w:color="auto" w:fill="auto"/>
          </w:tcPr>
          <w:p w14:paraId="305A0F61"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89.32</w:t>
            </w:r>
          </w:p>
        </w:tc>
      </w:tr>
      <w:tr w:rsidR="000F4F26" w:rsidRPr="00F4256B" w14:paraId="50DE278C" w14:textId="77777777" w:rsidTr="00677A25">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8DC962E" w14:textId="77777777" w:rsidR="000F4F26" w:rsidRPr="00677A25" w:rsidRDefault="000F4F26" w:rsidP="00990E2D">
            <w:pPr>
              <w:jc w:val="both"/>
              <w:rPr>
                <w:rFonts w:ascii="Times New Roman" w:hAnsi="Times New Roman"/>
                <w:b w:val="0"/>
                <w:bCs w:val="0"/>
                <w:i/>
                <w:iCs/>
              </w:rPr>
            </w:pPr>
            <w:proofErr w:type="spellStart"/>
            <w:r w:rsidRPr="00677A25">
              <w:rPr>
                <w:rFonts w:ascii="Times New Roman" w:hAnsi="Times New Roman"/>
                <w:b w:val="0"/>
                <w:bCs w:val="0"/>
                <w:i/>
                <w:iCs/>
              </w:rPr>
              <w:t>Pangasianodon</w:t>
            </w:r>
            <w:proofErr w:type="spellEnd"/>
            <w:r w:rsidRPr="00677A25">
              <w:rPr>
                <w:rFonts w:ascii="Times New Roman" w:hAnsi="Times New Roman"/>
                <w:b w:val="0"/>
                <w:bCs w:val="0"/>
                <w:i/>
                <w:iCs/>
              </w:rPr>
              <w:t xml:space="preserve"> </w:t>
            </w:r>
            <w:proofErr w:type="spellStart"/>
            <w:r w:rsidRPr="00677A25">
              <w:rPr>
                <w:rFonts w:ascii="Times New Roman" w:hAnsi="Times New Roman"/>
                <w:b w:val="0"/>
                <w:bCs w:val="0"/>
                <w:i/>
                <w:iCs/>
              </w:rPr>
              <w:t>hypophthalmus</w:t>
            </w:r>
            <w:proofErr w:type="spellEnd"/>
            <w:r w:rsidRPr="00677A25">
              <w:rPr>
                <w:rFonts w:ascii="Times New Roman" w:hAnsi="Times New Roman"/>
                <w:b w:val="0"/>
                <w:bCs w:val="0"/>
                <w:i/>
                <w:iCs/>
              </w:rPr>
              <w:t xml:space="preserve"> </w:t>
            </w:r>
          </w:p>
        </w:tc>
        <w:tc>
          <w:tcPr>
            <w:tcW w:w="993" w:type="dxa"/>
            <w:shd w:val="clear" w:color="auto" w:fill="auto"/>
          </w:tcPr>
          <w:p w14:paraId="317A3CB3"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mRNA</w:t>
            </w:r>
          </w:p>
        </w:tc>
        <w:tc>
          <w:tcPr>
            <w:tcW w:w="1984" w:type="dxa"/>
            <w:shd w:val="clear" w:color="auto" w:fill="auto"/>
          </w:tcPr>
          <w:p w14:paraId="39777EA3"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XM_026942413.2</w:t>
            </w:r>
          </w:p>
        </w:tc>
        <w:tc>
          <w:tcPr>
            <w:tcW w:w="1133" w:type="dxa"/>
            <w:shd w:val="clear" w:color="auto" w:fill="auto"/>
          </w:tcPr>
          <w:p w14:paraId="3842045D"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55</w:t>
            </w:r>
          </w:p>
        </w:tc>
        <w:tc>
          <w:tcPr>
            <w:tcW w:w="1559" w:type="dxa"/>
            <w:shd w:val="clear" w:color="auto" w:fill="auto"/>
          </w:tcPr>
          <w:p w14:paraId="57AE32C2" w14:textId="77777777" w:rsidR="000F4F26" w:rsidRPr="00F4256B" w:rsidRDefault="000F4F26" w:rsidP="00677A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4256B">
              <w:rPr>
                <w:rFonts w:ascii="Times New Roman" w:hAnsi="Times New Roman"/>
              </w:rPr>
              <w:t>90.60</w:t>
            </w:r>
          </w:p>
        </w:tc>
      </w:tr>
      <w:tr w:rsidR="000F4F26" w:rsidRPr="00F4256B" w14:paraId="3FAAF9F5" w14:textId="77777777" w:rsidTr="00677A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75A0155A" w14:textId="77777777" w:rsidR="000F4F26" w:rsidRPr="00677A25" w:rsidRDefault="000F4F26" w:rsidP="00990E2D">
            <w:pPr>
              <w:jc w:val="both"/>
              <w:rPr>
                <w:rFonts w:ascii="Times New Roman" w:hAnsi="Times New Roman"/>
                <w:b w:val="0"/>
                <w:bCs w:val="0"/>
                <w:i/>
                <w:iCs/>
              </w:rPr>
            </w:pPr>
            <w:proofErr w:type="spellStart"/>
            <w:r w:rsidRPr="00677A25">
              <w:rPr>
                <w:rFonts w:ascii="Times New Roman" w:hAnsi="Times New Roman"/>
                <w:b w:val="0"/>
                <w:bCs w:val="0"/>
                <w:i/>
                <w:iCs/>
              </w:rPr>
              <w:t>Clarias</w:t>
            </w:r>
            <w:proofErr w:type="spellEnd"/>
            <w:r w:rsidRPr="00677A25">
              <w:rPr>
                <w:rFonts w:ascii="Times New Roman" w:hAnsi="Times New Roman"/>
                <w:b w:val="0"/>
                <w:bCs w:val="0"/>
                <w:i/>
                <w:iCs/>
              </w:rPr>
              <w:t xml:space="preserve"> </w:t>
            </w:r>
            <w:proofErr w:type="spellStart"/>
            <w:r w:rsidRPr="00677A25">
              <w:rPr>
                <w:rFonts w:ascii="Times New Roman" w:hAnsi="Times New Roman"/>
                <w:b w:val="0"/>
                <w:bCs w:val="0"/>
                <w:i/>
                <w:iCs/>
              </w:rPr>
              <w:t>batracus</w:t>
            </w:r>
            <w:proofErr w:type="spellEnd"/>
            <w:r w:rsidRPr="00677A25">
              <w:rPr>
                <w:rFonts w:ascii="Times New Roman" w:hAnsi="Times New Roman"/>
                <w:b w:val="0"/>
                <w:bCs w:val="0"/>
                <w:i/>
                <w:iCs/>
              </w:rPr>
              <w:t xml:space="preserve"> </w:t>
            </w:r>
          </w:p>
        </w:tc>
        <w:tc>
          <w:tcPr>
            <w:tcW w:w="993" w:type="dxa"/>
            <w:shd w:val="clear" w:color="auto" w:fill="auto"/>
          </w:tcPr>
          <w:p w14:paraId="19600254"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mRNA</w:t>
            </w:r>
          </w:p>
        </w:tc>
        <w:tc>
          <w:tcPr>
            <w:tcW w:w="1984" w:type="dxa"/>
            <w:shd w:val="clear" w:color="auto" w:fill="auto"/>
          </w:tcPr>
          <w:p w14:paraId="134601E5"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AF416485.1</w:t>
            </w:r>
          </w:p>
        </w:tc>
        <w:tc>
          <w:tcPr>
            <w:tcW w:w="1133" w:type="dxa"/>
            <w:shd w:val="clear" w:color="auto" w:fill="auto"/>
          </w:tcPr>
          <w:p w14:paraId="7FC37C90"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55</w:t>
            </w:r>
          </w:p>
        </w:tc>
        <w:tc>
          <w:tcPr>
            <w:tcW w:w="1559" w:type="dxa"/>
            <w:shd w:val="clear" w:color="auto" w:fill="auto"/>
          </w:tcPr>
          <w:p w14:paraId="098EA05E" w14:textId="77777777" w:rsidR="000F4F26" w:rsidRPr="00F4256B" w:rsidRDefault="000F4F26" w:rsidP="00677A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4256B">
              <w:rPr>
                <w:rFonts w:ascii="Times New Roman" w:hAnsi="Times New Roman"/>
              </w:rPr>
              <w:t>90.60</w:t>
            </w:r>
          </w:p>
        </w:tc>
      </w:tr>
    </w:tbl>
    <w:p w14:paraId="1C239898" w14:textId="77777777" w:rsidR="001533D6" w:rsidRDefault="001533D6" w:rsidP="00990E2D">
      <w:pPr>
        <w:spacing w:line="240" w:lineRule="auto"/>
        <w:ind w:firstLine="720"/>
        <w:contextualSpacing/>
        <w:jc w:val="both"/>
        <w:rPr>
          <w:rFonts w:ascii="Times New Roman" w:hAnsi="Times New Roman"/>
          <w:sz w:val="24"/>
          <w:szCs w:val="24"/>
        </w:rPr>
      </w:pPr>
    </w:p>
    <w:p w14:paraId="0AAD310C" w14:textId="5D0EEC1E" w:rsidR="00D612CC" w:rsidRPr="00D826C8" w:rsidRDefault="00D612CC" w:rsidP="00990E2D">
      <w:pPr>
        <w:spacing w:line="240" w:lineRule="auto"/>
        <w:ind w:firstLine="720"/>
        <w:jc w:val="both"/>
        <w:rPr>
          <w:rFonts w:ascii="Times New Roman" w:hAnsi="Times New Roman"/>
          <w:sz w:val="24"/>
          <w:szCs w:val="24"/>
        </w:rPr>
      </w:pPr>
      <w:r w:rsidRPr="00D826C8">
        <w:rPr>
          <w:rFonts w:ascii="Times New Roman" w:hAnsi="Times New Roman"/>
          <w:sz w:val="24"/>
          <w:szCs w:val="24"/>
        </w:rPr>
        <w:t xml:space="preserve">Homology analysis in rainbow trout of the gh1 and gh2 genes had 78.6 </w:t>
      </w:r>
      <w:r w:rsidR="00AD3410" w:rsidRPr="00D826C8">
        <w:rPr>
          <w:rFonts w:ascii="Times New Roman" w:hAnsi="Times New Roman"/>
          <w:sz w:val="24"/>
          <w:szCs w:val="24"/>
        </w:rPr>
        <w:t xml:space="preserve">% </w:t>
      </w:r>
      <w:r w:rsidRPr="00D826C8">
        <w:rPr>
          <w:rFonts w:ascii="Times New Roman" w:hAnsi="Times New Roman"/>
          <w:sz w:val="24"/>
          <w:szCs w:val="24"/>
        </w:rPr>
        <w:t>and 89.2</w:t>
      </w:r>
      <w:r w:rsidR="00AD3410" w:rsidRPr="00D826C8">
        <w:rPr>
          <w:rFonts w:ascii="Times New Roman" w:hAnsi="Times New Roman"/>
          <w:sz w:val="24"/>
          <w:szCs w:val="24"/>
        </w:rPr>
        <w:t xml:space="preserve"> </w:t>
      </w:r>
      <w:r w:rsidRPr="00D826C8">
        <w:rPr>
          <w:rFonts w:ascii="Times New Roman" w:hAnsi="Times New Roman"/>
          <w:sz w:val="24"/>
          <w:szCs w:val="24"/>
        </w:rPr>
        <w:t>% homology at 3′ and 5′ UTR, respectively, compared to 96.8</w:t>
      </w:r>
      <w:r w:rsidR="00AD3410" w:rsidRPr="00D826C8">
        <w:rPr>
          <w:rFonts w:ascii="Times New Roman" w:hAnsi="Times New Roman"/>
          <w:sz w:val="24"/>
          <w:szCs w:val="24"/>
        </w:rPr>
        <w:t xml:space="preserve"> </w:t>
      </w:r>
      <w:r w:rsidRPr="00D826C8">
        <w:rPr>
          <w:rFonts w:ascii="Times New Roman" w:hAnsi="Times New Roman"/>
          <w:sz w:val="24"/>
          <w:szCs w:val="24"/>
        </w:rPr>
        <w:t xml:space="preserve">% homology in the coding region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{"citationItems":[{"id":"ITEM-1","itemData":{"DOI":"10.1007/BF00004732","ISSN":"0920-1742 (Print)","PMID":"24221797","abstract":"The primary structures of two rainbow trout growth hormone mRNAs (GH1 and GH2) have been deduced by direct sequencing of their respective cDNA clones and portions of the mRNA. Both GH1 and GH2 mRNA contain open reading frames comprised of 630 nucleotides and encode 210 amino acid residues of which 11 are variant. The translated regions of both mRNA are flanked by a short but rather conserved 5'-end, and a relatively long but highly diverged 3'-end. The differences at translated and 3'-untranslated regions suggest that the GH1 and GH2 mRNA originate from different loci. The GH1 and GH2 mRNA are likely transcribed from two distinct loci which were duplicated during tetraploidization of salmonid genome between 50 to 100 million years ago.The GH2 gene has been isolated and sequenced from a rainbow trout genomic library. This gene spans a region of approximately 4 kilobases. The trout GH gene is comprised of 6 exons and 5 introns, in contrast to 5 exons and 4 introns in mammals. The additional intron in the trout gene interrupts the translated regions that are analogous to the last exon of the mammalian counterpart. The alleged internally repeating sequences in mammalian GH, prolactin (Pr1) and placental lactogen (PL) are not observed in the predicted polypeptide sequence of trout GH. In addition, direct repeats that flank exons I, III and V of mammalian GH, Pr1 and PL genes are absent in trout gene. These findings indicate that the rainbow trout GH gene structure does not support the current hypothesis that internally repeated regions in GH, Pr1 and PL arose from a small primordial gene.","author":[{"dropping-particle":"","family":"Chen","given":"T T","non-dropping-particle":"","parse-names":false,"suffix":""},{"dropping-particle":"","family":"Agellon","given":"L B","non-dropping-particle":"","parse-names":false,"suffix":""},{"dropping-particle":"","family":"Lin","given":"C M","non-dropping-particle":"","parse-names":false,"suffix":""},{"dropping-particle":"","family":"Tsai","given":"H J","non-dropping-particle":"","parse-names":false,"suffix":""},{"dropping-particle":"","family":"Zhang","given":"P","non-dropping-particle":"","parse-names":false,"suffix":""},{"dropping-particle":"","family":"González-Villasénor","given":"L I","non-dropping-particle":"","parse-names":false,"suffix":""},{"dropping-particle":"","family":"Powers","given":"D A","non-dropping-particle":"","parse-names":false,"suffix":""}],"container-title":"Fish Physiology and Biochemistry","id":"ITEM-1","issue":"1-6","issued":{"date-parts":[["1989","6"]]},"language":"eng","page":"381-385","publisher-place":"Netherlands","title":"Evolutionary implications of two rainbow trout growth hormone genes.","type":"article-journal","volume":"7"},"uris":["http://www.mendeley.com/documents/?uuid=267c13a2-d837-4602-9160-c60bacd33a0f"]}],"mendeley":{"formattedCitation":"(Chen et al., 1989)","plainTextFormattedCitation":"(Chen et al., 1989)","previouslyFormattedCitation":"(Chen et al. 1989)"},"properties":{"noteIndex":0},"schema":"https://github.com/citation-style-language/schema/raw/master/csl-citation.json"}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 xml:space="preserve">(Chen </w:t>
      </w:r>
      <w:r w:rsidR="00D826C8" w:rsidRPr="00527443">
        <w:rPr>
          <w:rFonts w:ascii="Times New Roman" w:hAnsi="Times New Roman"/>
          <w:i/>
          <w:iCs/>
          <w:noProof/>
          <w:sz w:val="24"/>
          <w:szCs w:val="24"/>
        </w:rPr>
        <w:t>et al</w:t>
      </w:r>
      <w:r w:rsidR="00D826C8" w:rsidRPr="00D826C8">
        <w:rPr>
          <w:rFonts w:ascii="Times New Roman" w:hAnsi="Times New Roman"/>
          <w:noProof/>
          <w:sz w:val="24"/>
          <w:szCs w:val="24"/>
        </w:rPr>
        <w:t>., 1989)</w:t>
      </w:r>
      <w:r w:rsidRPr="00D826C8">
        <w:rPr>
          <w:rFonts w:ascii="Times New Roman" w:hAnsi="Times New Roman"/>
          <w:sz w:val="24"/>
          <w:szCs w:val="24"/>
        </w:rPr>
        <w:fldChar w:fldCharType="end"/>
      </w:r>
      <w:r w:rsidRPr="00D826C8">
        <w:rPr>
          <w:rFonts w:ascii="Times New Roman" w:hAnsi="Times New Roman"/>
          <w:sz w:val="24"/>
          <w:szCs w:val="24"/>
        </w:rPr>
        <w:t xml:space="preserve">. The two genes’ non-coding regions were significantly different, which can be explained by the lack of gene conversion between the two genes. In many cases, identical proteins were also coded by GH gene </w:t>
      </w:r>
      <w:r w:rsidRPr="00D826C8">
        <w:rPr>
          <w:rFonts w:ascii="Times New Roman" w:hAnsi="Times New Roman"/>
          <w:sz w:val="24"/>
          <w:szCs w:val="24"/>
        </w:rPr>
        <w:fldChar w:fldCharType="begin" w:fldLock="1"/>
      </w:r>
      <w:r w:rsidR="00D826C8">
        <w:rPr>
          <w:rFonts w:ascii="Times New Roman" w:hAnsi="Times New Roman"/>
          <w:sz w:val="24"/>
          <w:szCs w:val="24"/>
        </w:rPr>
        <w:instrText>ADDIN CSL_CITATION {"citationItems":[{"id":"ITEM-1","itemData":{"DOI":"10.1134/S1063074020040033","ISSN":"16083377","abstract":"Abstract: This review provides information on the structure of growth hormone genes (GHGs) in fish and the divergence of coding, intron, and adjacent flanking regions; original data obtained in our laboratory are also considered. In most fish species, GHGs are represented by a single copy, while some taxonomic groups have two paralogous genes. The coding sequences of GHGs are conserved. Gene length variations depend on the length of non-coding and flanking regions and introns. The divergence rate of gene sequences varies not only between different taxonomic groups, but also in the time of divergence within groups. In flanking regions, only the regulatory elements are conserved.","author":[{"dropping-particle":"","family":"Kamenskaya","given":"D. N.","non-dropping-particle":"","parse-names":false,"suffix":""},{"dropping-particle":"","family":"Brykov","given":"V. A.","non-dropping-particle":"","parse-names":false,"suffix":""}],"container-title":"Russian Journal of Marine Biology","id":"ITEM-1","issue":"4","issued":{"date-parts":[["2020"]]},"page":"233-242","title":"Fish Growth Hormone Genes: Structure and Divergence","type":"article-journal","volume":"46"},"uris":["http://www.mendeley.com/documents/?uuid=d1e7241e-7f7a-45e3-ba7d-28d1708b34b8"]}],"mendeley":{"formattedCitation":"(Kamenskaya &amp; Brykov, 2020)","plainTextFormattedCitation":"(Kamenskaya &amp; Brykov, 2020)","previouslyFormattedCitation":"(Kamenskaya and Brykov 2020)"},"properties":{"noteIndex":0},"schema":"https://github.com/citation-style-language/schema/raw/master/csl-citation.json"}</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(Kamenskaya &amp; Brykov, 2020)</w:t>
      </w:r>
      <w:r w:rsidRPr="00D826C8">
        <w:rPr>
          <w:rFonts w:ascii="Times New Roman" w:hAnsi="Times New Roman"/>
          <w:sz w:val="24"/>
          <w:szCs w:val="24"/>
        </w:rPr>
        <w:fldChar w:fldCharType="end"/>
      </w:r>
      <w:r w:rsidRPr="00D826C8">
        <w:rPr>
          <w:rFonts w:ascii="Times New Roman" w:hAnsi="Times New Roman"/>
          <w:sz w:val="24"/>
          <w:szCs w:val="24"/>
        </w:rPr>
        <w:t>.</w:t>
      </w:r>
    </w:p>
    <w:p w14:paraId="3EA7473A" w14:textId="77777777" w:rsidR="0018256B" w:rsidRDefault="0018256B" w:rsidP="00990E2D">
      <w:pPr>
        <w:spacing w:line="240" w:lineRule="auto"/>
        <w:jc w:val="both"/>
        <w:rPr>
          <w:rFonts w:ascii="Times New Roman" w:hAnsi="Times New Roman"/>
          <w:b/>
          <w:bCs/>
          <w:sz w:val="24"/>
          <w:szCs w:val="24"/>
        </w:rPr>
      </w:pPr>
    </w:p>
    <w:p w14:paraId="6338BD93" w14:textId="464ACD00" w:rsidR="00D612CC" w:rsidRPr="00D826C8" w:rsidRDefault="001533D6" w:rsidP="00990E2D">
      <w:pPr>
        <w:spacing w:line="240" w:lineRule="auto"/>
        <w:jc w:val="both"/>
        <w:rPr>
          <w:rFonts w:ascii="Times New Roman" w:hAnsi="Times New Roman"/>
          <w:b/>
          <w:bCs/>
          <w:sz w:val="24"/>
          <w:szCs w:val="24"/>
        </w:rPr>
      </w:pPr>
      <w:r>
        <w:rPr>
          <w:rFonts w:ascii="Times New Roman" w:hAnsi="Times New Roman"/>
          <w:b/>
          <w:bCs/>
          <w:sz w:val="24"/>
          <w:szCs w:val="24"/>
        </w:rPr>
        <w:t>CONCLUSION</w:t>
      </w:r>
    </w:p>
    <w:p w14:paraId="73AE9D89" w14:textId="24643CF3" w:rsidR="00D612CC" w:rsidRPr="00D826C8" w:rsidRDefault="00D612CC" w:rsidP="00990E2D">
      <w:pPr>
        <w:spacing w:line="240" w:lineRule="auto"/>
        <w:ind w:firstLine="720"/>
        <w:contextualSpacing/>
        <w:jc w:val="both"/>
        <w:rPr>
          <w:rFonts w:ascii="Times New Roman" w:hAnsi="Times New Roman"/>
          <w:sz w:val="24"/>
          <w:szCs w:val="24"/>
        </w:rPr>
      </w:pPr>
      <w:r w:rsidRPr="00D826C8">
        <w:rPr>
          <w:rFonts w:ascii="Times New Roman" w:hAnsi="Times New Roman"/>
          <w:sz w:val="24"/>
          <w:szCs w:val="24"/>
        </w:rPr>
        <w:t xml:space="preserve">The growth hormone gene in Tiger shovelnose catfish </w:t>
      </w:r>
      <w:r w:rsidR="00865AAF" w:rsidRPr="00D826C8">
        <w:rPr>
          <w:rFonts w:ascii="Times New Roman" w:hAnsi="Times New Roman"/>
          <w:sz w:val="24"/>
          <w:szCs w:val="24"/>
        </w:rPr>
        <w:t>(</w:t>
      </w:r>
      <w:proofErr w:type="spellStart"/>
      <w:r w:rsidR="00865AAF" w:rsidRPr="00D826C8">
        <w:rPr>
          <w:rFonts w:ascii="Times New Roman" w:hAnsi="Times New Roman"/>
          <w:i/>
          <w:iCs/>
          <w:sz w:val="24"/>
          <w:szCs w:val="24"/>
        </w:rPr>
        <w:t>Pseudoplatystoma</w:t>
      </w:r>
      <w:proofErr w:type="spellEnd"/>
      <w:r w:rsidR="00865AAF" w:rsidRPr="00D826C8">
        <w:rPr>
          <w:rFonts w:ascii="Times New Roman" w:hAnsi="Times New Roman"/>
          <w:i/>
          <w:iCs/>
          <w:sz w:val="24"/>
          <w:szCs w:val="24"/>
        </w:rPr>
        <w:t xml:space="preserve"> </w:t>
      </w:r>
      <w:proofErr w:type="spellStart"/>
      <w:r w:rsidR="00865AAF" w:rsidRPr="00D826C8">
        <w:rPr>
          <w:rFonts w:ascii="Times New Roman" w:hAnsi="Times New Roman"/>
          <w:i/>
          <w:iCs/>
          <w:sz w:val="24"/>
          <w:szCs w:val="24"/>
        </w:rPr>
        <w:t>fasciatum</w:t>
      </w:r>
      <w:proofErr w:type="spellEnd"/>
      <w:r w:rsidR="00865AAF" w:rsidRPr="00D826C8">
        <w:rPr>
          <w:rFonts w:ascii="Times New Roman" w:hAnsi="Times New Roman"/>
          <w:sz w:val="24"/>
          <w:szCs w:val="24"/>
        </w:rPr>
        <w:t xml:space="preserve"> Linnaeus, 1766). </w:t>
      </w:r>
      <w:r w:rsidRPr="00D826C8">
        <w:rPr>
          <w:rFonts w:ascii="Times New Roman" w:hAnsi="Times New Roman"/>
          <w:sz w:val="24"/>
          <w:szCs w:val="24"/>
        </w:rPr>
        <w:t>was isolated from the pituitary gland mRNA with a molecular weight of 234 bp. The GH gene of Tiger shovelnose catfish has 234 nucleotides and contains 17 types of amino acids. The GH gene of Tiger shovelnose catfish was closely related to the</w:t>
      </w:r>
      <w:r w:rsidRPr="00D826C8">
        <w:rPr>
          <w:rFonts w:ascii="Times New Roman" w:hAnsi="Times New Roman"/>
          <w:color w:val="FF0000"/>
          <w:sz w:val="24"/>
          <w:szCs w:val="24"/>
        </w:rPr>
        <w:t xml:space="preserve"> </w:t>
      </w:r>
      <w:r w:rsidRPr="00D826C8">
        <w:rPr>
          <w:rFonts w:ascii="Times New Roman" w:hAnsi="Times New Roman"/>
          <w:sz w:val="24"/>
          <w:szCs w:val="24"/>
        </w:rPr>
        <w:t>striped catfish (</w:t>
      </w:r>
      <w:proofErr w:type="spellStart"/>
      <w:r w:rsidRPr="00D826C8">
        <w:rPr>
          <w:rFonts w:ascii="Times New Roman" w:hAnsi="Times New Roman"/>
          <w:i/>
          <w:iCs/>
          <w:sz w:val="24"/>
          <w:szCs w:val="24"/>
        </w:rPr>
        <w:t>Pangasianodon</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hypophthalmus</w:t>
      </w:r>
      <w:proofErr w:type="spellEnd"/>
      <w:r w:rsidRPr="00D826C8">
        <w:rPr>
          <w:rFonts w:ascii="Times New Roman" w:hAnsi="Times New Roman"/>
          <w:sz w:val="24"/>
          <w:szCs w:val="24"/>
        </w:rPr>
        <w:t>) and African catfish (</w:t>
      </w:r>
      <w:proofErr w:type="spellStart"/>
      <w:r w:rsidRPr="00D826C8">
        <w:rPr>
          <w:rFonts w:ascii="Times New Roman" w:hAnsi="Times New Roman"/>
          <w:i/>
          <w:iCs/>
          <w:sz w:val="24"/>
          <w:szCs w:val="24"/>
        </w:rPr>
        <w:t>Clarias</w:t>
      </w:r>
      <w:proofErr w:type="spellEnd"/>
      <w:r w:rsidRPr="00D826C8">
        <w:rPr>
          <w:rFonts w:ascii="Times New Roman" w:hAnsi="Times New Roman"/>
          <w:i/>
          <w:iCs/>
          <w:sz w:val="24"/>
          <w:szCs w:val="24"/>
        </w:rPr>
        <w:t xml:space="preserve"> </w:t>
      </w:r>
      <w:proofErr w:type="spellStart"/>
      <w:r w:rsidRPr="00D826C8">
        <w:rPr>
          <w:rFonts w:ascii="Times New Roman" w:hAnsi="Times New Roman"/>
          <w:i/>
          <w:iCs/>
          <w:sz w:val="24"/>
          <w:szCs w:val="24"/>
        </w:rPr>
        <w:t>batracus</w:t>
      </w:r>
      <w:proofErr w:type="spellEnd"/>
      <w:r w:rsidRPr="00D826C8">
        <w:rPr>
          <w:rFonts w:ascii="Times New Roman" w:hAnsi="Times New Roman"/>
          <w:sz w:val="24"/>
          <w:szCs w:val="24"/>
        </w:rPr>
        <w:t>) with a homology value of 90.6</w:t>
      </w:r>
      <w:r w:rsidR="00AD3410" w:rsidRPr="00D826C8">
        <w:rPr>
          <w:rFonts w:ascii="Times New Roman" w:hAnsi="Times New Roman"/>
          <w:sz w:val="24"/>
          <w:szCs w:val="24"/>
        </w:rPr>
        <w:t xml:space="preserve"> </w:t>
      </w:r>
      <w:r w:rsidRPr="00D826C8">
        <w:rPr>
          <w:rFonts w:ascii="Times New Roman" w:hAnsi="Times New Roman"/>
          <w:sz w:val="24"/>
          <w:szCs w:val="24"/>
        </w:rPr>
        <w:t>%. The GH gene has been submitted in the gene bank with accession number OL439543.</w:t>
      </w:r>
    </w:p>
    <w:p w14:paraId="2D990C17" w14:textId="77777777" w:rsidR="00D612CC" w:rsidRPr="00D826C8" w:rsidRDefault="00D612CC" w:rsidP="00990E2D">
      <w:pPr>
        <w:spacing w:line="240" w:lineRule="auto"/>
        <w:contextualSpacing/>
        <w:jc w:val="both"/>
        <w:rPr>
          <w:rFonts w:ascii="Times New Roman" w:hAnsi="Times New Roman"/>
          <w:sz w:val="24"/>
          <w:szCs w:val="24"/>
        </w:rPr>
      </w:pPr>
      <w:r w:rsidRPr="00D826C8">
        <w:rPr>
          <w:rFonts w:ascii="Times New Roman" w:hAnsi="Times New Roman"/>
          <w:b/>
          <w:bCs/>
          <w:sz w:val="24"/>
          <w:szCs w:val="24"/>
        </w:rPr>
        <w:tab/>
      </w:r>
      <w:r w:rsidRPr="00D826C8">
        <w:rPr>
          <w:rFonts w:ascii="Times New Roman" w:hAnsi="Times New Roman"/>
          <w:b/>
          <w:bCs/>
          <w:sz w:val="24"/>
          <w:szCs w:val="24"/>
        </w:rPr>
        <w:tab/>
      </w:r>
    </w:p>
    <w:p w14:paraId="08A20948" w14:textId="77777777" w:rsidR="001533D6" w:rsidRDefault="001533D6" w:rsidP="00990E2D">
      <w:pPr>
        <w:spacing w:line="240" w:lineRule="auto"/>
        <w:contextualSpacing/>
        <w:jc w:val="both"/>
        <w:rPr>
          <w:rFonts w:ascii="Times New Roman" w:hAnsi="Times New Roman"/>
          <w:b/>
          <w:bCs/>
          <w:sz w:val="24"/>
          <w:szCs w:val="24"/>
        </w:rPr>
      </w:pPr>
    </w:p>
    <w:p w14:paraId="0E8F6D39" w14:textId="123AEC92" w:rsidR="001533D6" w:rsidRDefault="001533D6" w:rsidP="00990E2D">
      <w:pPr>
        <w:spacing w:line="240" w:lineRule="auto"/>
        <w:contextualSpacing/>
        <w:jc w:val="both"/>
        <w:rPr>
          <w:rFonts w:ascii="Times New Roman" w:hAnsi="Times New Roman"/>
          <w:b/>
          <w:bCs/>
          <w:sz w:val="24"/>
          <w:szCs w:val="24"/>
        </w:rPr>
      </w:pPr>
      <w:r>
        <w:rPr>
          <w:rFonts w:ascii="Times New Roman" w:hAnsi="Times New Roman"/>
          <w:b/>
          <w:bCs/>
          <w:sz w:val="24"/>
          <w:szCs w:val="24"/>
        </w:rPr>
        <w:t>ACKNOLEDGEMENTS</w:t>
      </w:r>
    </w:p>
    <w:p w14:paraId="18AB676E" w14:textId="098B8F01" w:rsidR="002E67A4" w:rsidRDefault="003E459C" w:rsidP="003E459C">
      <w:pPr>
        <w:spacing w:line="240" w:lineRule="auto"/>
        <w:ind w:firstLine="720"/>
        <w:contextualSpacing/>
        <w:jc w:val="both"/>
        <w:rPr>
          <w:rFonts w:ascii="Times New Roman" w:eastAsiaTheme="minorEastAsia" w:hAnsi="Times New Roman"/>
          <w:sz w:val="24"/>
          <w:szCs w:val="24"/>
        </w:rPr>
      </w:pPr>
      <w:r w:rsidRPr="003E459C">
        <w:rPr>
          <w:rFonts w:ascii="Times New Roman" w:eastAsiaTheme="minorEastAsia" w:hAnsi="Times New Roman"/>
          <w:sz w:val="24"/>
          <w:szCs w:val="24"/>
        </w:rPr>
        <w:t>The authors are grateful to the Test Laboratory of the Research Institute for Ornamental Fish Cult</w:t>
      </w:r>
      <w:r>
        <w:rPr>
          <w:rFonts w:ascii="Times New Roman" w:eastAsiaTheme="minorEastAsia" w:hAnsi="Times New Roman"/>
          <w:sz w:val="24"/>
          <w:szCs w:val="24"/>
        </w:rPr>
        <w:t>ure</w:t>
      </w:r>
      <w:r w:rsidRPr="003E459C">
        <w:rPr>
          <w:rFonts w:ascii="Times New Roman" w:eastAsiaTheme="minorEastAsia" w:hAnsi="Times New Roman"/>
          <w:sz w:val="24"/>
          <w:szCs w:val="24"/>
        </w:rPr>
        <w:t xml:space="preserve"> of the Ministry of Marine Affairs and Fisheries</w:t>
      </w:r>
      <w:r>
        <w:rPr>
          <w:rFonts w:ascii="Times New Roman" w:eastAsiaTheme="minorEastAsia" w:hAnsi="Times New Roman"/>
          <w:sz w:val="24"/>
          <w:szCs w:val="24"/>
        </w:rPr>
        <w:t>,</w:t>
      </w:r>
      <w:r w:rsidRPr="003E459C">
        <w:rPr>
          <w:rFonts w:ascii="Times New Roman" w:eastAsiaTheme="minorEastAsia" w:hAnsi="Times New Roman"/>
          <w:sz w:val="24"/>
          <w:szCs w:val="24"/>
        </w:rPr>
        <w:t xml:space="preserve"> and </w:t>
      </w:r>
      <w:proofErr w:type="spellStart"/>
      <w:r w:rsidRPr="003E459C">
        <w:rPr>
          <w:rFonts w:ascii="Times New Roman" w:eastAsiaTheme="minorEastAsia" w:hAnsi="Times New Roman"/>
          <w:sz w:val="24"/>
          <w:szCs w:val="24"/>
        </w:rPr>
        <w:t>Fajriyani</w:t>
      </w:r>
      <w:proofErr w:type="spellEnd"/>
      <w:r w:rsidRPr="003E459C">
        <w:rPr>
          <w:rFonts w:ascii="Times New Roman" w:eastAsiaTheme="minorEastAsia" w:hAnsi="Times New Roman"/>
          <w:sz w:val="24"/>
          <w:szCs w:val="24"/>
        </w:rPr>
        <w:t xml:space="preserve"> as a laboratory assistant who was involved in this research.</w:t>
      </w:r>
    </w:p>
    <w:p w14:paraId="49F9BE27" w14:textId="77777777" w:rsidR="003E459C" w:rsidRPr="002E67A4" w:rsidRDefault="003E459C" w:rsidP="003E459C">
      <w:pPr>
        <w:spacing w:line="240" w:lineRule="auto"/>
        <w:ind w:firstLine="720"/>
        <w:contextualSpacing/>
        <w:jc w:val="both"/>
        <w:rPr>
          <w:rFonts w:ascii="Arial" w:eastAsiaTheme="minorEastAsia" w:hAnsi="Arial" w:cs="Arial"/>
          <w:sz w:val="20"/>
          <w:szCs w:val="20"/>
        </w:rPr>
      </w:pPr>
    </w:p>
    <w:p w14:paraId="63718AF8" w14:textId="28D3B732" w:rsidR="00D612CC" w:rsidRDefault="001533D6" w:rsidP="00990E2D">
      <w:pPr>
        <w:spacing w:line="240" w:lineRule="auto"/>
        <w:contextualSpacing/>
        <w:jc w:val="both"/>
        <w:rPr>
          <w:rFonts w:ascii="Times New Roman" w:hAnsi="Times New Roman"/>
          <w:b/>
          <w:bCs/>
          <w:sz w:val="24"/>
          <w:szCs w:val="24"/>
        </w:rPr>
      </w:pPr>
      <w:r>
        <w:rPr>
          <w:rFonts w:ascii="Times New Roman" w:hAnsi="Times New Roman"/>
          <w:b/>
          <w:bCs/>
          <w:sz w:val="24"/>
          <w:szCs w:val="24"/>
        </w:rPr>
        <w:t>REFERENCES</w:t>
      </w:r>
    </w:p>
    <w:p w14:paraId="5D27C9A3" w14:textId="77777777" w:rsidR="001533D6" w:rsidRPr="00D826C8" w:rsidRDefault="001533D6" w:rsidP="00990E2D">
      <w:pPr>
        <w:spacing w:line="240" w:lineRule="auto"/>
        <w:contextualSpacing/>
        <w:jc w:val="both"/>
        <w:rPr>
          <w:rFonts w:ascii="Times New Roman" w:hAnsi="Times New Roman"/>
          <w:b/>
          <w:bCs/>
          <w:sz w:val="24"/>
          <w:szCs w:val="24"/>
        </w:rPr>
      </w:pPr>
    </w:p>
    <w:p w14:paraId="4DFEEE83" w14:textId="58A9C6A9" w:rsidR="00D826C8" w:rsidRPr="00D826C8" w:rsidRDefault="003322AE"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sz w:val="24"/>
          <w:szCs w:val="24"/>
        </w:rPr>
        <w:fldChar w:fldCharType="begin" w:fldLock="1"/>
      </w:r>
      <w:r w:rsidRPr="00D826C8">
        <w:rPr>
          <w:rFonts w:ascii="Times New Roman" w:hAnsi="Times New Roman"/>
          <w:sz w:val="24"/>
          <w:szCs w:val="24"/>
        </w:rPr>
        <w:instrText xml:space="preserve">ADDIN Mendeley Bibliography CSL_BIBLIOGRAPHY </w:instrText>
      </w:r>
      <w:r w:rsidRPr="00D826C8">
        <w:rPr>
          <w:rFonts w:ascii="Times New Roman" w:hAnsi="Times New Roman"/>
          <w:sz w:val="24"/>
          <w:szCs w:val="24"/>
        </w:rPr>
        <w:fldChar w:fldCharType="separate"/>
      </w:r>
      <w:r w:rsidR="00D826C8" w:rsidRPr="00D826C8">
        <w:rPr>
          <w:rFonts w:ascii="Times New Roman" w:hAnsi="Times New Roman"/>
          <w:noProof/>
          <w:sz w:val="24"/>
          <w:szCs w:val="24"/>
        </w:rPr>
        <w:t>Abdolahnejad, Z., Pourkazemi, M., Khoshkholgh, M. R., &amp; Yarmohammadi, M. (2015). Expression of growth hormone gene during early development of Siberian sturgeon (</w:t>
      </w:r>
      <w:r w:rsidR="00D826C8" w:rsidRPr="00C73349">
        <w:rPr>
          <w:rFonts w:ascii="Times New Roman" w:hAnsi="Times New Roman"/>
          <w:i/>
          <w:iCs/>
          <w:noProof/>
          <w:sz w:val="24"/>
          <w:szCs w:val="24"/>
        </w:rPr>
        <w:t>Acipenser baerii</w:t>
      </w:r>
      <w:r w:rsidR="00D826C8" w:rsidRPr="00D826C8">
        <w:rPr>
          <w:rFonts w:ascii="Times New Roman" w:hAnsi="Times New Roman"/>
          <w:noProof/>
          <w:sz w:val="24"/>
          <w:szCs w:val="24"/>
        </w:rPr>
        <w:t xml:space="preserve">). </w:t>
      </w:r>
      <w:r w:rsidR="00D826C8" w:rsidRPr="00D826C8">
        <w:rPr>
          <w:rFonts w:ascii="Times New Roman" w:hAnsi="Times New Roman"/>
          <w:i/>
          <w:iCs/>
          <w:noProof/>
          <w:sz w:val="24"/>
          <w:szCs w:val="24"/>
        </w:rPr>
        <w:t>Molecular Biology Research Communications</w:t>
      </w:r>
      <w:r w:rsidR="00D826C8" w:rsidRPr="00D826C8">
        <w:rPr>
          <w:rFonts w:ascii="Times New Roman" w:hAnsi="Times New Roman"/>
          <w:noProof/>
          <w:sz w:val="24"/>
          <w:szCs w:val="24"/>
        </w:rPr>
        <w:t xml:space="preserve">, </w:t>
      </w:r>
      <w:r w:rsidR="00D826C8" w:rsidRPr="00D826C8">
        <w:rPr>
          <w:rFonts w:ascii="Times New Roman" w:hAnsi="Times New Roman"/>
          <w:i/>
          <w:iCs/>
          <w:noProof/>
          <w:sz w:val="24"/>
          <w:szCs w:val="24"/>
        </w:rPr>
        <w:t>4</w:t>
      </w:r>
      <w:r w:rsidR="00D826C8" w:rsidRPr="00D826C8">
        <w:rPr>
          <w:rFonts w:ascii="Times New Roman" w:hAnsi="Times New Roman"/>
          <w:noProof/>
          <w:sz w:val="24"/>
          <w:szCs w:val="24"/>
        </w:rPr>
        <w:t>(4), 181–188. https://doi.org/10.22099/mbrc.2015.3166</w:t>
      </w:r>
    </w:p>
    <w:p w14:paraId="4810F121"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Alimuddin, Handoyo, B., &amp; Utomo, N. B. P. (2014). Effectiveness of recombinant giant grouper (</w:t>
      </w:r>
      <w:r w:rsidRPr="00527443">
        <w:rPr>
          <w:rFonts w:ascii="Times New Roman" w:hAnsi="Times New Roman"/>
          <w:i/>
          <w:iCs/>
          <w:noProof/>
          <w:sz w:val="24"/>
          <w:szCs w:val="24"/>
        </w:rPr>
        <w:t>Epinephelus lanceolatus</w:t>
      </w:r>
      <w:r w:rsidRPr="00D826C8">
        <w:rPr>
          <w:rFonts w:ascii="Times New Roman" w:hAnsi="Times New Roman"/>
          <w:noProof/>
          <w:sz w:val="24"/>
          <w:szCs w:val="24"/>
        </w:rPr>
        <w:t>, Bloch 1790) growth hormone through immersion and oral delivery on growth of eel (</w:t>
      </w:r>
      <w:r w:rsidRPr="00C73349">
        <w:rPr>
          <w:rFonts w:ascii="Times New Roman" w:hAnsi="Times New Roman"/>
          <w:i/>
          <w:iCs/>
          <w:noProof/>
          <w:sz w:val="24"/>
          <w:szCs w:val="24"/>
        </w:rPr>
        <w:t>Anguilla bicolor bicolor</w:t>
      </w:r>
      <w:r w:rsidRPr="00D826C8">
        <w:rPr>
          <w:rFonts w:ascii="Times New Roman" w:hAnsi="Times New Roman"/>
          <w:noProof/>
          <w:sz w:val="24"/>
          <w:szCs w:val="24"/>
        </w:rPr>
        <w:t xml:space="preserve">). </w:t>
      </w:r>
      <w:r w:rsidRPr="00D826C8">
        <w:rPr>
          <w:rFonts w:ascii="Times New Roman" w:hAnsi="Times New Roman"/>
          <w:i/>
          <w:iCs/>
          <w:noProof/>
          <w:sz w:val="24"/>
          <w:szCs w:val="24"/>
        </w:rPr>
        <w:t>Jurnal Iktiologi Indonesia</w:t>
      </w:r>
      <w:r w:rsidRPr="00D826C8">
        <w:rPr>
          <w:rFonts w:ascii="Times New Roman" w:hAnsi="Times New Roman"/>
          <w:noProof/>
          <w:sz w:val="24"/>
          <w:szCs w:val="24"/>
        </w:rPr>
        <w:t xml:space="preserve">, </w:t>
      </w:r>
      <w:r w:rsidRPr="00D826C8">
        <w:rPr>
          <w:rFonts w:ascii="Times New Roman" w:hAnsi="Times New Roman"/>
          <w:i/>
          <w:iCs/>
          <w:noProof/>
          <w:sz w:val="24"/>
          <w:szCs w:val="24"/>
        </w:rPr>
        <w:t>14</w:t>
      </w:r>
      <w:r w:rsidRPr="00D826C8">
        <w:rPr>
          <w:rFonts w:ascii="Times New Roman" w:hAnsi="Times New Roman"/>
          <w:noProof/>
          <w:sz w:val="24"/>
          <w:szCs w:val="24"/>
        </w:rPr>
        <w:t>(3), 179–189. https://doi.org/https://doi.org/10.32491/jii.v14i3.79</w:t>
      </w:r>
    </w:p>
    <w:p w14:paraId="4CFF5B26"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Alimuddin, Lesmana, I., Sudrajat, A. O., Carman, O., &amp; Faizal, I. (2010). Production and Bioactivity Potential of Three Recombinant Growth Hormones of Farmed Fish. </w:t>
      </w:r>
      <w:r w:rsidRPr="00D826C8">
        <w:rPr>
          <w:rFonts w:ascii="Times New Roman" w:hAnsi="Times New Roman"/>
          <w:i/>
          <w:iCs/>
          <w:noProof/>
          <w:sz w:val="24"/>
          <w:szCs w:val="24"/>
        </w:rPr>
        <w:t>Indonesian Aquaculture Journal</w:t>
      </w:r>
      <w:r w:rsidRPr="00D826C8">
        <w:rPr>
          <w:rFonts w:ascii="Times New Roman" w:hAnsi="Times New Roman"/>
          <w:noProof/>
          <w:sz w:val="24"/>
          <w:szCs w:val="24"/>
        </w:rPr>
        <w:t xml:space="preserve">, </w:t>
      </w:r>
      <w:r w:rsidRPr="00D826C8">
        <w:rPr>
          <w:rFonts w:ascii="Times New Roman" w:hAnsi="Times New Roman"/>
          <w:i/>
          <w:iCs/>
          <w:noProof/>
          <w:sz w:val="24"/>
          <w:szCs w:val="24"/>
        </w:rPr>
        <w:t>5</w:t>
      </w:r>
      <w:r w:rsidRPr="00D826C8">
        <w:rPr>
          <w:rFonts w:ascii="Times New Roman" w:hAnsi="Times New Roman"/>
          <w:noProof/>
          <w:sz w:val="24"/>
          <w:szCs w:val="24"/>
        </w:rPr>
        <w:t>(1), 11. https://doi.org/10.15578/iaj.5.1.2010.11-17</w:t>
      </w:r>
    </w:p>
    <w:p w14:paraId="7B58AAAD"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Alimuddin, Nugrahani, W., Aliah, R. S., &amp; Sumantadinata, K. (2007). Isolation and characterization of B-actin promoter from humpback grouper (</w:t>
      </w:r>
      <w:r w:rsidRPr="00C73349">
        <w:rPr>
          <w:rFonts w:ascii="Times New Roman" w:hAnsi="Times New Roman"/>
          <w:i/>
          <w:iCs/>
          <w:noProof/>
          <w:sz w:val="24"/>
          <w:szCs w:val="24"/>
        </w:rPr>
        <w:t>Cromileptes altivelis</w:t>
      </w:r>
      <w:r w:rsidRPr="00D826C8">
        <w:rPr>
          <w:rFonts w:ascii="Times New Roman" w:hAnsi="Times New Roman"/>
          <w:noProof/>
          <w:sz w:val="24"/>
          <w:szCs w:val="24"/>
        </w:rPr>
        <w:t xml:space="preserve">). </w:t>
      </w:r>
      <w:r w:rsidRPr="00D826C8">
        <w:rPr>
          <w:rFonts w:ascii="Times New Roman" w:hAnsi="Times New Roman"/>
          <w:i/>
          <w:iCs/>
          <w:noProof/>
          <w:sz w:val="24"/>
          <w:szCs w:val="24"/>
        </w:rPr>
        <w:t>Jurnal Riset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2</w:t>
      </w:r>
      <w:r w:rsidRPr="00D826C8">
        <w:rPr>
          <w:rFonts w:ascii="Times New Roman" w:hAnsi="Times New Roman"/>
          <w:noProof/>
          <w:sz w:val="24"/>
          <w:szCs w:val="24"/>
        </w:rPr>
        <w:t>(2), 199–210. https://doi.org/http://dx.doi.org/10.15578/jra.2.2.2007.199-210</w:t>
      </w:r>
    </w:p>
    <w:p w14:paraId="1398A1F1"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Apriliana, R., Basuki, F., &amp; Agung, R. (2017). The effects of Recombinant Growth Hormone (rGH) with different doses for growth and survival of Java Barb Fish (</w:t>
      </w:r>
      <w:r w:rsidRPr="00C73349">
        <w:rPr>
          <w:rFonts w:ascii="Times New Roman" w:hAnsi="Times New Roman"/>
          <w:i/>
          <w:iCs/>
          <w:noProof/>
          <w:sz w:val="24"/>
          <w:szCs w:val="24"/>
        </w:rPr>
        <w:t>Puntius</w:t>
      </w:r>
      <w:r w:rsidRPr="00D826C8">
        <w:rPr>
          <w:rFonts w:ascii="Times New Roman" w:hAnsi="Times New Roman"/>
          <w:noProof/>
          <w:sz w:val="24"/>
          <w:szCs w:val="24"/>
        </w:rPr>
        <w:t xml:space="preserve"> sp.). </w:t>
      </w:r>
      <w:r w:rsidRPr="00D826C8">
        <w:rPr>
          <w:rFonts w:ascii="Times New Roman" w:hAnsi="Times New Roman"/>
          <w:i/>
          <w:iCs/>
          <w:noProof/>
          <w:sz w:val="24"/>
          <w:szCs w:val="24"/>
        </w:rPr>
        <w:t>Jurnal Sains Akuakultur Tropis</w:t>
      </w:r>
      <w:r w:rsidRPr="00D826C8">
        <w:rPr>
          <w:rFonts w:ascii="Times New Roman" w:hAnsi="Times New Roman"/>
          <w:noProof/>
          <w:sz w:val="24"/>
          <w:szCs w:val="24"/>
        </w:rPr>
        <w:t xml:space="preserve">, </w:t>
      </w:r>
      <w:r w:rsidRPr="00D826C8">
        <w:rPr>
          <w:rFonts w:ascii="Times New Roman" w:hAnsi="Times New Roman"/>
          <w:i/>
          <w:iCs/>
          <w:noProof/>
          <w:sz w:val="24"/>
          <w:szCs w:val="24"/>
        </w:rPr>
        <w:t>2</w:t>
      </w:r>
      <w:r w:rsidRPr="00D826C8">
        <w:rPr>
          <w:rFonts w:ascii="Times New Roman" w:hAnsi="Times New Roman"/>
          <w:noProof/>
          <w:sz w:val="24"/>
          <w:szCs w:val="24"/>
        </w:rPr>
        <w:t>(July), 49–58. https://doi.org/https://doi.org/10.14710/sat.v2i1.2561</w:t>
      </w:r>
    </w:p>
    <w:p w14:paraId="61894E06"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Britz, P., &amp; Pienaar, A. (1992). Laboratory experiments on the efect of light and cover on the behaviour and growth of African catfish, </w:t>
      </w:r>
      <w:r w:rsidRPr="00C73349">
        <w:rPr>
          <w:rFonts w:ascii="Times New Roman" w:hAnsi="Times New Roman"/>
          <w:i/>
          <w:iCs/>
          <w:noProof/>
          <w:sz w:val="24"/>
          <w:szCs w:val="24"/>
        </w:rPr>
        <w:t>Clarias gariepinus</w:t>
      </w:r>
      <w:r w:rsidRPr="00D826C8">
        <w:rPr>
          <w:rFonts w:ascii="Times New Roman" w:hAnsi="Times New Roman"/>
          <w:noProof/>
          <w:sz w:val="24"/>
          <w:szCs w:val="24"/>
        </w:rPr>
        <w:t xml:space="preserve"> (Pisces: Clariidae). </w:t>
      </w:r>
      <w:r w:rsidRPr="00D826C8">
        <w:rPr>
          <w:rFonts w:ascii="Times New Roman" w:hAnsi="Times New Roman"/>
          <w:i/>
          <w:iCs/>
          <w:noProof/>
          <w:sz w:val="24"/>
          <w:szCs w:val="24"/>
        </w:rPr>
        <w:t>Journal of Zoology</w:t>
      </w:r>
      <w:r w:rsidRPr="00D826C8">
        <w:rPr>
          <w:rFonts w:ascii="Times New Roman" w:hAnsi="Times New Roman"/>
          <w:noProof/>
          <w:sz w:val="24"/>
          <w:szCs w:val="24"/>
        </w:rPr>
        <w:t xml:space="preserve">, </w:t>
      </w:r>
      <w:r w:rsidRPr="00D826C8">
        <w:rPr>
          <w:rFonts w:ascii="Times New Roman" w:hAnsi="Times New Roman"/>
          <w:i/>
          <w:iCs/>
          <w:noProof/>
          <w:sz w:val="24"/>
          <w:szCs w:val="24"/>
        </w:rPr>
        <w:t>227</w:t>
      </w:r>
      <w:r w:rsidRPr="00D826C8">
        <w:rPr>
          <w:rFonts w:ascii="Times New Roman" w:hAnsi="Times New Roman"/>
          <w:noProof/>
          <w:sz w:val="24"/>
          <w:szCs w:val="24"/>
        </w:rPr>
        <w:t>, 43–62. https://doi.org/https://doi.org/10.1111/j.1469-7998.1992.tb04343.x</w:t>
      </w:r>
    </w:p>
    <w:p w14:paraId="6B833436"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Buwono, I. D., Carsono, N., &amp; Mulyani, Y. (2012). Isolation and analysis of growth hormone gene African catfish (</w:t>
      </w:r>
      <w:r w:rsidRPr="00C73349">
        <w:rPr>
          <w:rFonts w:ascii="Times New Roman" w:hAnsi="Times New Roman"/>
          <w:i/>
          <w:iCs/>
          <w:noProof/>
          <w:sz w:val="24"/>
          <w:szCs w:val="24"/>
        </w:rPr>
        <w:t>Clarias gariepinus</w:t>
      </w:r>
      <w:r w:rsidRPr="00D826C8">
        <w:rPr>
          <w:rFonts w:ascii="Times New Roman" w:hAnsi="Times New Roman"/>
          <w:noProof/>
          <w:sz w:val="24"/>
          <w:szCs w:val="24"/>
        </w:rPr>
        <w:t xml:space="preserve"> Burch). </w:t>
      </w:r>
      <w:r w:rsidRPr="00D826C8">
        <w:rPr>
          <w:rFonts w:ascii="Times New Roman" w:hAnsi="Times New Roman"/>
          <w:i/>
          <w:iCs/>
          <w:noProof/>
          <w:sz w:val="24"/>
          <w:szCs w:val="24"/>
        </w:rPr>
        <w:t>Jurnal Riset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7</w:t>
      </w:r>
      <w:r w:rsidRPr="00D826C8">
        <w:rPr>
          <w:rFonts w:ascii="Times New Roman" w:hAnsi="Times New Roman"/>
          <w:noProof/>
          <w:sz w:val="24"/>
          <w:szCs w:val="24"/>
        </w:rPr>
        <w:t>(3), 371–379. https://doi.org/10.15578/jra.7.3.2012.371-379</w:t>
      </w:r>
    </w:p>
    <w:p w14:paraId="2376FB5F"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Buwono, I. D., &amp; Suparta, M. H. (2009). Isolation of partial fragments of growth hormone of Majalaya carp fish and GIFT nile using CTAB–PCR methods. </w:t>
      </w:r>
      <w:r w:rsidRPr="00D826C8">
        <w:rPr>
          <w:rFonts w:ascii="Times New Roman" w:hAnsi="Times New Roman"/>
          <w:i/>
          <w:iCs/>
          <w:noProof/>
          <w:sz w:val="24"/>
          <w:szCs w:val="24"/>
        </w:rPr>
        <w:t>Jurnal Riset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4</w:t>
      </w:r>
      <w:r w:rsidRPr="00D826C8">
        <w:rPr>
          <w:rFonts w:ascii="Times New Roman" w:hAnsi="Times New Roman"/>
          <w:noProof/>
          <w:sz w:val="24"/>
          <w:szCs w:val="24"/>
        </w:rPr>
        <w:t>(2), 213–219. https://doi.org/http://dx.doi.org/10.15578/jra.4.2.2009.213-219</w:t>
      </w:r>
    </w:p>
    <w:p w14:paraId="269639D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Chan, M. T. T., Muttray, A., Sakhrani, D., Woodward, K., Kim, J.-H., Christensen, K. A., Koop, B. F., &amp; Devlin, R. H. (2021). Sexually Dimorphic Growth Stimulation in a Strain of Growth Hormone Transgenic Coho Salmon (</w:t>
      </w:r>
      <w:r w:rsidRPr="00C73349">
        <w:rPr>
          <w:rFonts w:ascii="Times New Roman" w:hAnsi="Times New Roman"/>
          <w:i/>
          <w:iCs/>
          <w:noProof/>
          <w:sz w:val="24"/>
          <w:szCs w:val="24"/>
        </w:rPr>
        <w:t>Oncorhynchus kisutch</w:t>
      </w:r>
      <w:r w:rsidRPr="00D826C8">
        <w:rPr>
          <w:rFonts w:ascii="Times New Roman" w:hAnsi="Times New Roman"/>
          <w:noProof/>
          <w:sz w:val="24"/>
          <w:szCs w:val="24"/>
        </w:rPr>
        <w:t xml:space="preserve">). </w:t>
      </w:r>
      <w:r w:rsidRPr="00D826C8">
        <w:rPr>
          <w:rFonts w:ascii="Times New Roman" w:hAnsi="Times New Roman"/>
          <w:i/>
          <w:iCs/>
          <w:noProof/>
          <w:sz w:val="24"/>
          <w:szCs w:val="24"/>
        </w:rPr>
        <w:t>Marine Biotechnology</w:t>
      </w:r>
      <w:r w:rsidRPr="00D826C8">
        <w:rPr>
          <w:rFonts w:ascii="Times New Roman" w:hAnsi="Times New Roman"/>
          <w:noProof/>
          <w:sz w:val="24"/>
          <w:szCs w:val="24"/>
        </w:rPr>
        <w:t xml:space="preserve">, </w:t>
      </w:r>
      <w:r w:rsidRPr="00D826C8">
        <w:rPr>
          <w:rFonts w:ascii="Times New Roman" w:hAnsi="Times New Roman"/>
          <w:i/>
          <w:iCs/>
          <w:noProof/>
          <w:sz w:val="24"/>
          <w:szCs w:val="24"/>
        </w:rPr>
        <w:t>23</w:t>
      </w:r>
      <w:r w:rsidRPr="00D826C8">
        <w:rPr>
          <w:rFonts w:ascii="Times New Roman" w:hAnsi="Times New Roman"/>
          <w:noProof/>
          <w:sz w:val="24"/>
          <w:szCs w:val="24"/>
        </w:rPr>
        <w:t xml:space="preserve">, 140–148. </w:t>
      </w:r>
      <w:r w:rsidRPr="00D826C8">
        <w:rPr>
          <w:rFonts w:ascii="Times New Roman" w:hAnsi="Times New Roman"/>
          <w:noProof/>
          <w:sz w:val="24"/>
          <w:szCs w:val="24"/>
        </w:rPr>
        <w:lastRenderedPageBreak/>
        <w:t>https://doi.org/https://doi.org/10.1007/s10126-020-10012-5</w:t>
      </w:r>
    </w:p>
    <w:p w14:paraId="6C34B348"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Chen, T. T., Agellon, L. B., Lin, C. M., Tsai, H. J., Zhang, P., González-Villasénor, L. I., &amp; Powers, D. A. (1989). Evolutionary implications of two rainbow trout growth hormone genes. </w:t>
      </w:r>
      <w:r w:rsidRPr="00D826C8">
        <w:rPr>
          <w:rFonts w:ascii="Times New Roman" w:hAnsi="Times New Roman"/>
          <w:i/>
          <w:iCs/>
          <w:noProof/>
          <w:sz w:val="24"/>
          <w:szCs w:val="24"/>
        </w:rPr>
        <w:t>Fish Physiology and Biochemistry</w:t>
      </w:r>
      <w:r w:rsidRPr="00D826C8">
        <w:rPr>
          <w:rFonts w:ascii="Times New Roman" w:hAnsi="Times New Roman"/>
          <w:noProof/>
          <w:sz w:val="24"/>
          <w:szCs w:val="24"/>
        </w:rPr>
        <w:t xml:space="preserve">, </w:t>
      </w:r>
      <w:r w:rsidRPr="00D826C8">
        <w:rPr>
          <w:rFonts w:ascii="Times New Roman" w:hAnsi="Times New Roman"/>
          <w:i/>
          <w:iCs/>
          <w:noProof/>
          <w:sz w:val="24"/>
          <w:szCs w:val="24"/>
        </w:rPr>
        <w:t>7</w:t>
      </w:r>
      <w:r w:rsidRPr="00D826C8">
        <w:rPr>
          <w:rFonts w:ascii="Times New Roman" w:hAnsi="Times New Roman"/>
          <w:noProof/>
          <w:sz w:val="24"/>
          <w:szCs w:val="24"/>
        </w:rPr>
        <w:t>(1–6), 381–385. https://doi.org/10.1007/BF00004732</w:t>
      </w:r>
    </w:p>
    <w:p w14:paraId="3CCEBF6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Dewi, R. R. S. P. S., Alimuddin, Sudrajat, A. O., &amp; Sumantadinata, K. (2012). PhGH gene transfer effectivity and expression on stripped catfish (</w:t>
      </w:r>
      <w:r w:rsidRPr="00C73349">
        <w:rPr>
          <w:rFonts w:ascii="Times New Roman" w:hAnsi="Times New Roman"/>
          <w:i/>
          <w:iCs/>
          <w:noProof/>
          <w:sz w:val="24"/>
          <w:szCs w:val="24"/>
        </w:rPr>
        <w:t>Pangasianodon hypophthalmus</w:t>
      </w:r>
      <w:r w:rsidRPr="00D826C8">
        <w:rPr>
          <w:rFonts w:ascii="Times New Roman" w:hAnsi="Times New Roman"/>
          <w:noProof/>
          <w:sz w:val="24"/>
          <w:szCs w:val="24"/>
        </w:rPr>
        <w:t xml:space="preserve">). </w:t>
      </w:r>
      <w:r w:rsidRPr="00D826C8">
        <w:rPr>
          <w:rFonts w:ascii="Times New Roman" w:hAnsi="Times New Roman"/>
          <w:i/>
          <w:iCs/>
          <w:noProof/>
          <w:sz w:val="24"/>
          <w:szCs w:val="24"/>
        </w:rPr>
        <w:t>Jurnal Riset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7</w:t>
      </w:r>
      <w:r w:rsidRPr="00D826C8">
        <w:rPr>
          <w:rFonts w:ascii="Times New Roman" w:hAnsi="Times New Roman"/>
          <w:noProof/>
          <w:sz w:val="24"/>
          <w:szCs w:val="24"/>
        </w:rPr>
        <w:t>(2), 171–180. https://doi.org/10.15578/jra.7.2.2012.171-180</w:t>
      </w:r>
    </w:p>
    <w:p w14:paraId="6290A734"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Dewi, R. R. S. P. S., Sudrajat, A. O., Alimuddin, &amp; Sumantadinata, K. (2009). Identification of growth hormone gene of </w:t>
      </w:r>
      <w:r w:rsidRPr="00C73349">
        <w:rPr>
          <w:rFonts w:ascii="Times New Roman" w:hAnsi="Times New Roman"/>
          <w:i/>
          <w:iCs/>
          <w:noProof/>
          <w:sz w:val="24"/>
          <w:szCs w:val="24"/>
        </w:rPr>
        <w:t>Pangasionodon hypophthalmus</w:t>
      </w:r>
      <w:r w:rsidRPr="00D826C8">
        <w:rPr>
          <w:rFonts w:ascii="Times New Roman" w:hAnsi="Times New Roman"/>
          <w:noProof/>
          <w:sz w:val="24"/>
          <w:szCs w:val="24"/>
        </w:rPr>
        <w:t xml:space="preserve">. </w:t>
      </w:r>
      <w:r w:rsidRPr="00D826C8">
        <w:rPr>
          <w:rFonts w:ascii="Times New Roman" w:hAnsi="Times New Roman"/>
          <w:i/>
          <w:iCs/>
          <w:noProof/>
          <w:sz w:val="24"/>
          <w:szCs w:val="24"/>
        </w:rPr>
        <w:t>Indonesian Aquaculture Journal</w:t>
      </w:r>
      <w:r w:rsidRPr="00D826C8">
        <w:rPr>
          <w:rFonts w:ascii="Times New Roman" w:hAnsi="Times New Roman"/>
          <w:noProof/>
          <w:sz w:val="24"/>
          <w:szCs w:val="24"/>
        </w:rPr>
        <w:t xml:space="preserve">, </w:t>
      </w:r>
      <w:r w:rsidRPr="00D826C8">
        <w:rPr>
          <w:rFonts w:ascii="Times New Roman" w:hAnsi="Times New Roman"/>
          <w:i/>
          <w:iCs/>
          <w:noProof/>
          <w:sz w:val="24"/>
          <w:szCs w:val="24"/>
        </w:rPr>
        <w:t>4</w:t>
      </w:r>
      <w:r w:rsidRPr="00D826C8">
        <w:rPr>
          <w:rFonts w:ascii="Times New Roman" w:hAnsi="Times New Roman"/>
          <w:noProof/>
          <w:sz w:val="24"/>
          <w:szCs w:val="24"/>
        </w:rPr>
        <w:t>(1), 9–17. https://doi.org/10.15578/iaj.4.1.2009.9-17</w:t>
      </w:r>
    </w:p>
    <w:p w14:paraId="626B7438" w14:textId="2AEE0D5C"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Faridah, N. (2012). </w:t>
      </w:r>
      <w:r w:rsidRPr="00D826C8">
        <w:rPr>
          <w:rFonts w:ascii="Times New Roman" w:hAnsi="Times New Roman"/>
          <w:i/>
          <w:iCs/>
          <w:noProof/>
          <w:sz w:val="24"/>
          <w:szCs w:val="24"/>
        </w:rPr>
        <w:t>Introduction and expression of growth hormone gene on transgenic common carp</w:t>
      </w:r>
      <w:r w:rsidRPr="00D826C8">
        <w:rPr>
          <w:rFonts w:ascii="Times New Roman" w:hAnsi="Times New Roman"/>
          <w:noProof/>
          <w:sz w:val="24"/>
          <w:szCs w:val="24"/>
        </w:rPr>
        <w:t>. IPB University.</w:t>
      </w:r>
      <w:r w:rsidR="0064598D">
        <w:rPr>
          <w:rFonts w:ascii="Times New Roman" w:hAnsi="Times New Roman"/>
          <w:noProof/>
          <w:sz w:val="24"/>
          <w:szCs w:val="24"/>
        </w:rPr>
        <w:t xml:space="preserve"> Bogor. 58 pp.</w:t>
      </w:r>
    </w:p>
    <w:p w14:paraId="4F566BA0" w14:textId="318A8A72"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Hanum, G. R. (2017). </w:t>
      </w:r>
      <w:r w:rsidRPr="00D826C8">
        <w:rPr>
          <w:rFonts w:ascii="Times New Roman" w:hAnsi="Times New Roman"/>
          <w:i/>
          <w:iCs/>
          <w:noProof/>
          <w:sz w:val="24"/>
          <w:szCs w:val="24"/>
        </w:rPr>
        <w:t>Biokimia Dasar</w:t>
      </w:r>
      <w:r w:rsidRPr="00D826C8">
        <w:rPr>
          <w:rFonts w:ascii="Times New Roman" w:hAnsi="Times New Roman"/>
          <w:noProof/>
          <w:sz w:val="24"/>
          <w:szCs w:val="24"/>
        </w:rPr>
        <w:t xml:space="preserve"> (S. B. Sartika (ed.); 1st ed.). UMSIDA Press.</w:t>
      </w:r>
      <w:r w:rsidR="0064598D">
        <w:rPr>
          <w:rFonts w:ascii="Times New Roman" w:hAnsi="Times New Roman"/>
          <w:noProof/>
          <w:sz w:val="24"/>
          <w:szCs w:val="24"/>
        </w:rPr>
        <w:t xml:space="preserve"> Sidoarjo. 154 pp.</w:t>
      </w:r>
    </w:p>
    <w:p w14:paraId="416BA674"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Hayuningtyas, E. P., &amp; Kusrini, E. (2016). Performance of wild betta fish (</w:t>
      </w:r>
      <w:r w:rsidRPr="0064598D">
        <w:rPr>
          <w:rFonts w:ascii="Times New Roman" w:hAnsi="Times New Roman"/>
          <w:i/>
          <w:iCs/>
          <w:noProof/>
          <w:sz w:val="24"/>
          <w:szCs w:val="24"/>
        </w:rPr>
        <w:t>Betta imbellis</w:t>
      </w:r>
      <w:r w:rsidRPr="00D826C8">
        <w:rPr>
          <w:rFonts w:ascii="Times New Roman" w:hAnsi="Times New Roman"/>
          <w:noProof/>
          <w:sz w:val="24"/>
          <w:szCs w:val="24"/>
        </w:rPr>
        <w:t xml:space="preserve">) growth treated with recombinant growth hormone (rEIGH) through immersion and natural feed food. </w:t>
      </w:r>
      <w:r w:rsidRPr="00D826C8">
        <w:rPr>
          <w:rFonts w:ascii="Times New Roman" w:hAnsi="Times New Roman"/>
          <w:i/>
          <w:iCs/>
          <w:noProof/>
          <w:sz w:val="24"/>
          <w:szCs w:val="24"/>
        </w:rPr>
        <w:t>Media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11</w:t>
      </w:r>
      <w:r w:rsidRPr="00D826C8">
        <w:rPr>
          <w:rFonts w:ascii="Times New Roman" w:hAnsi="Times New Roman"/>
          <w:noProof/>
          <w:sz w:val="24"/>
          <w:szCs w:val="24"/>
        </w:rPr>
        <w:t>(13), 87–95. https://doi.org/http://dx.doi.org/10.15578/ma.11.2.2016.87-95</w:t>
      </w:r>
    </w:p>
    <w:p w14:paraId="59DD750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Hseu, J., Huang, W., &amp; Chu, Y. (2007). What causes cannibalization‐associated suffocation in cultured brown‐marbled grouper, </w:t>
      </w:r>
      <w:r w:rsidRPr="0064598D">
        <w:rPr>
          <w:rFonts w:ascii="Times New Roman" w:hAnsi="Times New Roman"/>
          <w:i/>
          <w:iCs/>
          <w:noProof/>
          <w:sz w:val="24"/>
          <w:szCs w:val="24"/>
        </w:rPr>
        <w:t>Epinephelus fuscoguttatus</w:t>
      </w:r>
      <w:r w:rsidRPr="00D826C8">
        <w:rPr>
          <w:rFonts w:ascii="Times New Roman" w:hAnsi="Times New Roman"/>
          <w:noProof/>
          <w:sz w:val="24"/>
          <w:szCs w:val="24"/>
        </w:rPr>
        <w:t xml:space="preserve"> (Forsskål, 1775)? </w:t>
      </w:r>
      <w:r w:rsidRPr="00D826C8">
        <w:rPr>
          <w:rFonts w:ascii="Times New Roman" w:hAnsi="Times New Roman"/>
          <w:i/>
          <w:iCs/>
          <w:noProof/>
          <w:sz w:val="24"/>
          <w:szCs w:val="24"/>
        </w:rPr>
        <w:t>Aquaculture Research</w:t>
      </w:r>
      <w:r w:rsidRPr="00D826C8">
        <w:rPr>
          <w:rFonts w:ascii="Times New Roman" w:hAnsi="Times New Roman"/>
          <w:noProof/>
          <w:sz w:val="24"/>
          <w:szCs w:val="24"/>
        </w:rPr>
        <w:t xml:space="preserve">, </w:t>
      </w:r>
      <w:r w:rsidRPr="00D826C8">
        <w:rPr>
          <w:rFonts w:ascii="Times New Roman" w:hAnsi="Times New Roman"/>
          <w:i/>
          <w:iCs/>
          <w:noProof/>
          <w:sz w:val="24"/>
          <w:szCs w:val="24"/>
        </w:rPr>
        <w:t>38</w:t>
      </w:r>
      <w:r w:rsidRPr="00D826C8">
        <w:rPr>
          <w:rFonts w:ascii="Times New Roman" w:hAnsi="Times New Roman"/>
          <w:noProof/>
          <w:sz w:val="24"/>
          <w:szCs w:val="24"/>
        </w:rPr>
        <w:t>(10), 1056–1060. https://doi.org/10.1111/j.1365-2109.2007.01762.x</w:t>
      </w:r>
    </w:p>
    <w:p w14:paraId="1FDE5812"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Kamenskaya, D. N., &amp; Brykov, V. A. (2020). Fish Growth Hormone Genes: Structure and Divergence. </w:t>
      </w:r>
      <w:r w:rsidRPr="00D826C8">
        <w:rPr>
          <w:rFonts w:ascii="Times New Roman" w:hAnsi="Times New Roman"/>
          <w:i/>
          <w:iCs/>
          <w:noProof/>
          <w:sz w:val="24"/>
          <w:szCs w:val="24"/>
        </w:rPr>
        <w:t>Russian Journal of Marine Biology</w:t>
      </w:r>
      <w:r w:rsidRPr="00D826C8">
        <w:rPr>
          <w:rFonts w:ascii="Times New Roman" w:hAnsi="Times New Roman"/>
          <w:noProof/>
          <w:sz w:val="24"/>
          <w:szCs w:val="24"/>
        </w:rPr>
        <w:t xml:space="preserve">, </w:t>
      </w:r>
      <w:r w:rsidRPr="00D826C8">
        <w:rPr>
          <w:rFonts w:ascii="Times New Roman" w:hAnsi="Times New Roman"/>
          <w:i/>
          <w:iCs/>
          <w:noProof/>
          <w:sz w:val="24"/>
          <w:szCs w:val="24"/>
        </w:rPr>
        <w:t>46</w:t>
      </w:r>
      <w:r w:rsidRPr="00D826C8">
        <w:rPr>
          <w:rFonts w:ascii="Times New Roman" w:hAnsi="Times New Roman"/>
          <w:noProof/>
          <w:sz w:val="24"/>
          <w:szCs w:val="24"/>
        </w:rPr>
        <w:t>(4), 233–242. https://doi.org/10.1134/S1063074020040033</w:t>
      </w:r>
    </w:p>
    <w:p w14:paraId="2FE5609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Kurdianto, Alimuddin, Faridah, N., Yoshizaki, G., Nuryati, S., &amp; Setiawati, M. (2016). Growth, Survival, and Body Composition of Transgenic Common Carp </w:t>
      </w:r>
      <w:r w:rsidRPr="0064598D">
        <w:rPr>
          <w:rFonts w:ascii="Times New Roman" w:hAnsi="Times New Roman"/>
          <w:i/>
          <w:iCs/>
          <w:noProof/>
          <w:sz w:val="24"/>
          <w:szCs w:val="24"/>
        </w:rPr>
        <w:t>Cyprinus carpio</w:t>
      </w:r>
      <w:r w:rsidRPr="00D826C8">
        <w:rPr>
          <w:rFonts w:ascii="Times New Roman" w:hAnsi="Times New Roman"/>
          <w:noProof/>
          <w:sz w:val="24"/>
          <w:szCs w:val="24"/>
        </w:rPr>
        <w:t xml:space="preserve"> 3rd Generation Expressing Tilapia Growth Hormone cDNA. </w:t>
      </w:r>
      <w:r w:rsidRPr="00D826C8">
        <w:rPr>
          <w:rFonts w:ascii="Times New Roman" w:hAnsi="Times New Roman"/>
          <w:i/>
          <w:iCs/>
          <w:noProof/>
          <w:sz w:val="24"/>
          <w:szCs w:val="24"/>
        </w:rPr>
        <w:t>HAYATI Journal of Biosciences</w:t>
      </w:r>
      <w:r w:rsidRPr="00D826C8">
        <w:rPr>
          <w:rFonts w:ascii="Times New Roman" w:hAnsi="Times New Roman"/>
          <w:noProof/>
          <w:sz w:val="24"/>
          <w:szCs w:val="24"/>
        </w:rPr>
        <w:t xml:space="preserve">, </w:t>
      </w:r>
      <w:r w:rsidRPr="00D826C8">
        <w:rPr>
          <w:rFonts w:ascii="Times New Roman" w:hAnsi="Times New Roman"/>
          <w:i/>
          <w:iCs/>
          <w:noProof/>
          <w:sz w:val="24"/>
          <w:szCs w:val="24"/>
        </w:rPr>
        <w:t>23</w:t>
      </w:r>
      <w:r w:rsidRPr="00D826C8">
        <w:rPr>
          <w:rFonts w:ascii="Times New Roman" w:hAnsi="Times New Roman"/>
          <w:noProof/>
          <w:sz w:val="24"/>
          <w:szCs w:val="24"/>
        </w:rPr>
        <w:t>(3), 150–154. https://doi.org/10.1016/j.hjb.2016.12.002</w:t>
      </w:r>
    </w:p>
    <w:p w14:paraId="0DB64CBB"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Kusrini, E., Alimuddin, Junior, M. Z., &amp; Soelistyowati, D. T. (2018). Foreign growth hormone gene transmission and expression in F1 Transgenik Betta fish (</w:t>
      </w:r>
      <w:r w:rsidRPr="0064598D">
        <w:rPr>
          <w:rFonts w:ascii="Times New Roman" w:hAnsi="Times New Roman"/>
          <w:i/>
          <w:iCs/>
          <w:noProof/>
          <w:sz w:val="24"/>
          <w:szCs w:val="24"/>
        </w:rPr>
        <w:t>Betta imbellis</w:t>
      </w:r>
      <w:r w:rsidRPr="00D826C8">
        <w:rPr>
          <w:rFonts w:ascii="Times New Roman" w:hAnsi="Times New Roman"/>
          <w:noProof/>
          <w:sz w:val="24"/>
          <w:szCs w:val="24"/>
        </w:rPr>
        <w:t xml:space="preserve">). </w:t>
      </w:r>
      <w:r w:rsidRPr="00D826C8">
        <w:rPr>
          <w:rFonts w:ascii="Times New Roman" w:hAnsi="Times New Roman"/>
          <w:i/>
          <w:iCs/>
          <w:noProof/>
          <w:sz w:val="24"/>
          <w:szCs w:val="24"/>
        </w:rPr>
        <w:t>Pakistan Journal of Biotechnology</w:t>
      </w:r>
      <w:r w:rsidRPr="00D826C8">
        <w:rPr>
          <w:rFonts w:ascii="Times New Roman" w:hAnsi="Times New Roman"/>
          <w:noProof/>
          <w:sz w:val="24"/>
          <w:szCs w:val="24"/>
        </w:rPr>
        <w:t xml:space="preserve">, </w:t>
      </w:r>
      <w:r w:rsidRPr="00D826C8">
        <w:rPr>
          <w:rFonts w:ascii="Times New Roman" w:hAnsi="Times New Roman"/>
          <w:i/>
          <w:iCs/>
          <w:noProof/>
          <w:sz w:val="24"/>
          <w:szCs w:val="24"/>
        </w:rPr>
        <w:t>15</w:t>
      </w:r>
      <w:r w:rsidRPr="00D826C8">
        <w:rPr>
          <w:rFonts w:ascii="Times New Roman" w:hAnsi="Times New Roman"/>
          <w:noProof/>
          <w:sz w:val="24"/>
          <w:szCs w:val="24"/>
        </w:rPr>
        <w:t>(1), 1–9. http://www.elsevier.com/locate/scp</w:t>
      </w:r>
    </w:p>
    <w:p w14:paraId="25AA624D"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Kusrini, E., Priyadi, A., &amp; Prasetio, A. B. (2015). Business challenge tiger Catfish (</w:t>
      </w:r>
      <w:r w:rsidRPr="0064598D">
        <w:rPr>
          <w:rFonts w:ascii="Times New Roman" w:hAnsi="Times New Roman"/>
          <w:i/>
          <w:iCs/>
          <w:noProof/>
          <w:sz w:val="24"/>
          <w:szCs w:val="24"/>
        </w:rPr>
        <w:t>Pseudoplatystoma fasciatum</w:t>
      </w:r>
      <w:r w:rsidRPr="00D826C8">
        <w:rPr>
          <w:rFonts w:ascii="Times New Roman" w:hAnsi="Times New Roman"/>
          <w:noProof/>
          <w:sz w:val="24"/>
          <w:szCs w:val="24"/>
        </w:rPr>
        <w:t xml:space="preserve">) through controlled spawning technology. </w:t>
      </w:r>
      <w:r w:rsidRPr="00D826C8">
        <w:rPr>
          <w:rFonts w:ascii="Times New Roman" w:hAnsi="Times New Roman"/>
          <w:i/>
          <w:iCs/>
          <w:noProof/>
          <w:sz w:val="24"/>
          <w:szCs w:val="24"/>
        </w:rPr>
        <w:t>Media Akuakultur Vol.</w:t>
      </w:r>
      <w:r w:rsidRPr="00D826C8">
        <w:rPr>
          <w:rFonts w:ascii="Times New Roman" w:hAnsi="Times New Roman"/>
          <w:noProof/>
          <w:sz w:val="24"/>
          <w:szCs w:val="24"/>
        </w:rPr>
        <w:t xml:space="preserve">, </w:t>
      </w:r>
      <w:r w:rsidRPr="00D826C8">
        <w:rPr>
          <w:rFonts w:ascii="Times New Roman" w:hAnsi="Times New Roman"/>
          <w:i/>
          <w:iCs/>
          <w:noProof/>
          <w:sz w:val="24"/>
          <w:szCs w:val="24"/>
        </w:rPr>
        <w:t>29</w:t>
      </w:r>
      <w:r w:rsidRPr="00D826C8">
        <w:rPr>
          <w:rFonts w:ascii="Times New Roman" w:hAnsi="Times New Roman"/>
          <w:noProof/>
          <w:sz w:val="24"/>
          <w:szCs w:val="24"/>
        </w:rPr>
        <w:t>(2), 79–83. https://doi.org/http://dx.doi.org/10.15578/ma.10.2.2015.79-83</w:t>
      </w:r>
    </w:p>
    <w:p w14:paraId="1489D893"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lastRenderedPageBreak/>
        <w:t xml:space="preserve">Lemaire, C., Warit, S., &amp; Panyim, S. (1994). Giant catfish Pangasianodon gigas growth hormone-encoding cDNA: cloning and sequencing by one-sided polymerase chain reaction. </w:t>
      </w:r>
      <w:r w:rsidRPr="00D826C8">
        <w:rPr>
          <w:rFonts w:ascii="Times New Roman" w:hAnsi="Times New Roman"/>
          <w:i/>
          <w:iCs/>
          <w:noProof/>
          <w:sz w:val="24"/>
          <w:szCs w:val="24"/>
        </w:rPr>
        <w:t>Gene</w:t>
      </w:r>
      <w:r w:rsidRPr="00D826C8">
        <w:rPr>
          <w:rFonts w:ascii="Times New Roman" w:hAnsi="Times New Roman"/>
          <w:noProof/>
          <w:sz w:val="24"/>
          <w:szCs w:val="24"/>
        </w:rPr>
        <w:t xml:space="preserve">, </w:t>
      </w:r>
      <w:r w:rsidRPr="00D826C8">
        <w:rPr>
          <w:rFonts w:ascii="Times New Roman" w:hAnsi="Times New Roman"/>
          <w:i/>
          <w:iCs/>
          <w:noProof/>
          <w:sz w:val="24"/>
          <w:szCs w:val="24"/>
        </w:rPr>
        <w:t>149</w:t>
      </w:r>
      <w:r w:rsidRPr="00D826C8">
        <w:rPr>
          <w:rFonts w:ascii="Times New Roman" w:hAnsi="Times New Roman"/>
          <w:noProof/>
          <w:sz w:val="24"/>
          <w:szCs w:val="24"/>
        </w:rPr>
        <w:t>(2), 271–276. https://doi.org/10.1016/0378-1119(94)90160-0</w:t>
      </w:r>
    </w:p>
    <w:p w14:paraId="07464683" w14:textId="182910BE"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Lesmana, I. (2010). </w:t>
      </w:r>
      <w:r w:rsidRPr="00D826C8">
        <w:rPr>
          <w:rFonts w:ascii="Times New Roman" w:hAnsi="Times New Roman"/>
          <w:i/>
          <w:iCs/>
          <w:noProof/>
          <w:sz w:val="24"/>
          <w:szCs w:val="24"/>
        </w:rPr>
        <w:t>Production and bioactivity of growth hormone recombinant protein from three types of cultured fish</w:t>
      </w:r>
      <w:r w:rsidR="0064598D">
        <w:rPr>
          <w:rFonts w:ascii="Times New Roman" w:hAnsi="Times New Roman"/>
          <w:noProof/>
          <w:sz w:val="24"/>
          <w:szCs w:val="24"/>
        </w:rPr>
        <w:t xml:space="preserve">. </w:t>
      </w:r>
      <w:r w:rsidRPr="00D826C8">
        <w:rPr>
          <w:rFonts w:ascii="Times New Roman" w:hAnsi="Times New Roman"/>
          <w:noProof/>
          <w:sz w:val="24"/>
          <w:szCs w:val="24"/>
        </w:rPr>
        <w:t>IPB University.</w:t>
      </w:r>
      <w:r w:rsidR="0064598D">
        <w:rPr>
          <w:rFonts w:ascii="Times New Roman" w:hAnsi="Times New Roman"/>
          <w:noProof/>
          <w:sz w:val="24"/>
          <w:szCs w:val="24"/>
        </w:rPr>
        <w:t xml:space="preserve"> Bogor</w:t>
      </w:r>
      <w:r w:rsidR="003813B8">
        <w:rPr>
          <w:rFonts w:ascii="Times New Roman" w:hAnsi="Times New Roman"/>
          <w:noProof/>
          <w:sz w:val="24"/>
          <w:szCs w:val="24"/>
        </w:rPr>
        <w:t xml:space="preserve">. </w:t>
      </w:r>
      <w:r w:rsidRPr="00D826C8">
        <w:rPr>
          <w:rFonts w:ascii="Times New Roman" w:hAnsi="Times New Roman"/>
          <w:noProof/>
          <w:sz w:val="24"/>
          <w:szCs w:val="24"/>
        </w:rPr>
        <w:t xml:space="preserve"> </w:t>
      </w:r>
      <w:r w:rsidR="003813B8">
        <w:rPr>
          <w:rFonts w:ascii="Times New Roman" w:hAnsi="Times New Roman"/>
          <w:noProof/>
          <w:sz w:val="24"/>
          <w:szCs w:val="24"/>
        </w:rPr>
        <w:t xml:space="preserve">62 pp. </w:t>
      </w:r>
      <w:r w:rsidRPr="00D826C8">
        <w:rPr>
          <w:rFonts w:ascii="Times New Roman" w:hAnsi="Times New Roman"/>
          <w:noProof/>
          <w:sz w:val="24"/>
          <w:szCs w:val="24"/>
        </w:rPr>
        <w:t>http://repository.ipb.ac.id/handle/123456789/57531</w:t>
      </w:r>
    </w:p>
    <w:p w14:paraId="2E0BD187"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Moriyama, S., Ayson, F. G., &amp; Kawauchi, H. (2000). Growth regulation by insulin-like growth factor-i in fish. </w:t>
      </w:r>
      <w:r w:rsidRPr="00D826C8">
        <w:rPr>
          <w:rFonts w:ascii="Times New Roman" w:hAnsi="Times New Roman"/>
          <w:i/>
          <w:iCs/>
          <w:noProof/>
          <w:sz w:val="24"/>
          <w:szCs w:val="24"/>
        </w:rPr>
        <w:t>Bioscience, Biotechnology and Biochemistry</w:t>
      </w:r>
      <w:r w:rsidRPr="00D826C8">
        <w:rPr>
          <w:rFonts w:ascii="Times New Roman" w:hAnsi="Times New Roman"/>
          <w:noProof/>
          <w:sz w:val="24"/>
          <w:szCs w:val="24"/>
        </w:rPr>
        <w:t xml:space="preserve">, </w:t>
      </w:r>
      <w:r w:rsidRPr="00D826C8">
        <w:rPr>
          <w:rFonts w:ascii="Times New Roman" w:hAnsi="Times New Roman"/>
          <w:i/>
          <w:iCs/>
          <w:noProof/>
          <w:sz w:val="24"/>
          <w:szCs w:val="24"/>
        </w:rPr>
        <w:t>64</w:t>
      </w:r>
      <w:r w:rsidRPr="00D826C8">
        <w:rPr>
          <w:rFonts w:ascii="Times New Roman" w:hAnsi="Times New Roman"/>
          <w:noProof/>
          <w:sz w:val="24"/>
          <w:szCs w:val="24"/>
        </w:rPr>
        <w:t>(8), 1553–1562. https://doi.org/10.1271/bbb.64.1553</w:t>
      </w:r>
    </w:p>
    <w:p w14:paraId="1671FBE4"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Nugroho, E., Alimuddin, Kristanto, A. H., &amp; Carman, O. (2016). Cloning of β-actin promoter from giant gouramy (</w:t>
      </w:r>
      <w:r w:rsidRPr="003813B8">
        <w:rPr>
          <w:rFonts w:ascii="Times New Roman" w:hAnsi="Times New Roman"/>
          <w:i/>
          <w:iCs/>
          <w:noProof/>
          <w:sz w:val="24"/>
          <w:szCs w:val="24"/>
        </w:rPr>
        <w:t>Osphronemus gouramy</w:t>
      </w:r>
      <w:r w:rsidRPr="00D826C8">
        <w:rPr>
          <w:rFonts w:ascii="Times New Roman" w:hAnsi="Times New Roman"/>
          <w:noProof/>
          <w:sz w:val="24"/>
          <w:szCs w:val="24"/>
        </w:rPr>
        <w:t xml:space="preserve">). </w:t>
      </w:r>
      <w:r w:rsidRPr="00D826C8">
        <w:rPr>
          <w:rFonts w:ascii="Times New Roman" w:hAnsi="Times New Roman"/>
          <w:i/>
          <w:iCs/>
          <w:noProof/>
          <w:sz w:val="24"/>
          <w:szCs w:val="24"/>
        </w:rPr>
        <w:t>Jurnal Riset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4</w:t>
      </w:r>
      <w:r w:rsidRPr="00D826C8">
        <w:rPr>
          <w:rFonts w:ascii="Times New Roman" w:hAnsi="Times New Roman"/>
          <w:noProof/>
          <w:sz w:val="24"/>
          <w:szCs w:val="24"/>
        </w:rPr>
        <w:t>(1), 23–31. https://doi.org/10.15578/jra.4.1.2009.23-31</w:t>
      </w:r>
    </w:p>
    <w:p w14:paraId="2DD9171F"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Nuñez, J., Dugué, R., Arana, N. C., Duponchelle, F., Renno, J. F., Raynaud, T., Hubert, N., &amp; Legendre, M. (2008). Induced breeding and larval rearing of Surubí, </w:t>
      </w:r>
      <w:r w:rsidRPr="003813B8">
        <w:rPr>
          <w:rFonts w:ascii="Times New Roman" w:hAnsi="Times New Roman"/>
          <w:i/>
          <w:iCs/>
          <w:noProof/>
          <w:sz w:val="24"/>
          <w:szCs w:val="24"/>
        </w:rPr>
        <w:t xml:space="preserve">Pseudoplatystoma fasciatum </w:t>
      </w:r>
      <w:r w:rsidRPr="00D826C8">
        <w:rPr>
          <w:rFonts w:ascii="Times New Roman" w:hAnsi="Times New Roman"/>
          <w:noProof/>
          <w:sz w:val="24"/>
          <w:szCs w:val="24"/>
        </w:rPr>
        <w:t xml:space="preserve">(Linnaeus, 1766), from the Bolivian Amazon. </w:t>
      </w:r>
      <w:r w:rsidRPr="00D826C8">
        <w:rPr>
          <w:rFonts w:ascii="Times New Roman" w:hAnsi="Times New Roman"/>
          <w:i/>
          <w:iCs/>
          <w:noProof/>
          <w:sz w:val="24"/>
          <w:szCs w:val="24"/>
        </w:rPr>
        <w:t>Aquaculture Research</w:t>
      </w:r>
      <w:r w:rsidRPr="00D826C8">
        <w:rPr>
          <w:rFonts w:ascii="Times New Roman" w:hAnsi="Times New Roman"/>
          <w:noProof/>
          <w:sz w:val="24"/>
          <w:szCs w:val="24"/>
        </w:rPr>
        <w:t xml:space="preserve">, </w:t>
      </w:r>
      <w:r w:rsidRPr="00D826C8">
        <w:rPr>
          <w:rFonts w:ascii="Times New Roman" w:hAnsi="Times New Roman"/>
          <w:i/>
          <w:iCs/>
          <w:noProof/>
          <w:sz w:val="24"/>
          <w:szCs w:val="24"/>
        </w:rPr>
        <w:t>39</w:t>
      </w:r>
      <w:r w:rsidRPr="00D826C8">
        <w:rPr>
          <w:rFonts w:ascii="Times New Roman" w:hAnsi="Times New Roman"/>
          <w:noProof/>
          <w:sz w:val="24"/>
          <w:szCs w:val="24"/>
        </w:rPr>
        <w:t>(7), 764–776. https://doi.org/10.1111/j.1365-2109.2008.01928.x</w:t>
      </w:r>
    </w:p>
    <w:p w14:paraId="7C58CA1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Permana, A., Alimuddin, Hadie, W., Priyadi, A., &amp; Ginanjar, R. (2018). The effects of using recombinant growth hormone on the growth of Clown Loach (</w:t>
      </w:r>
      <w:r w:rsidRPr="003813B8">
        <w:rPr>
          <w:rFonts w:ascii="Times New Roman" w:hAnsi="Times New Roman"/>
          <w:i/>
          <w:iCs/>
          <w:noProof/>
          <w:sz w:val="24"/>
          <w:szCs w:val="24"/>
        </w:rPr>
        <w:t>Chromobotia macracanthus</w:t>
      </w:r>
      <w:r w:rsidRPr="00D826C8">
        <w:rPr>
          <w:rFonts w:ascii="Times New Roman" w:hAnsi="Times New Roman"/>
          <w:noProof/>
          <w:sz w:val="24"/>
          <w:szCs w:val="24"/>
        </w:rPr>
        <w:t xml:space="preserve">) juveniles with different methods of administration. </w:t>
      </w:r>
      <w:r w:rsidRPr="00D826C8">
        <w:rPr>
          <w:rFonts w:ascii="Times New Roman" w:hAnsi="Times New Roman"/>
          <w:i/>
          <w:iCs/>
          <w:noProof/>
          <w:sz w:val="24"/>
          <w:szCs w:val="24"/>
        </w:rPr>
        <w:t>Jurnal Riset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13</w:t>
      </w:r>
      <w:r w:rsidRPr="00D826C8">
        <w:rPr>
          <w:rFonts w:ascii="Times New Roman" w:hAnsi="Times New Roman"/>
          <w:noProof/>
          <w:sz w:val="24"/>
          <w:szCs w:val="24"/>
        </w:rPr>
        <w:t>(2), 123–130. https://doi.org/10.15578/jra.13.2.2018.123-130</w:t>
      </w:r>
    </w:p>
    <w:p w14:paraId="754CC4CA"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Pinheiro, J. S., Wolff, J. L. C., Araújo, R. de C., &amp; Hilsdorf, A. W. S. (2008). Molecular cloning and sequence analysis of growth hormone cDNA of Neotropical freshwater fish Pacu (</w:t>
      </w:r>
      <w:r w:rsidRPr="00677A25">
        <w:rPr>
          <w:rFonts w:ascii="Times New Roman" w:hAnsi="Times New Roman"/>
          <w:i/>
          <w:iCs/>
          <w:noProof/>
          <w:sz w:val="24"/>
          <w:szCs w:val="24"/>
        </w:rPr>
        <w:t>Piaractus mesopotamicus</w:t>
      </w:r>
      <w:r w:rsidRPr="00D826C8">
        <w:rPr>
          <w:rFonts w:ascii="Times New Roman" w:hAnsi="Times New Roman"/>
          <w:noProof/>
          <w:sz w:val="24"/>
          <w:szCs w:val="24"/>
        </w:rPr>
        <w:t xml:space="preserve">). </w:t>
      </w:r>
      <w:r w:rsidRPr="00D826C8">
        <w:rPr>
          <w:rFonts w:ascii="Times New Roman" w:hAnsi="Times New Roman"/>
          <w:i/>
          <w:iCs/>
          <w:noProof/>
          <w:sz w:val="24"/>
          <w:szCs w:val="24"/>
        </w:rPr>
        <w:t>Genetics and Molecular Biology</w:t>
      </w:r>
      <w:r w:rsidRPr="00D826C8">
        <w:rPr>
          <w:rFonts w:ascii="Times New Roman" w:hAnsi="Times New Roman"/>
          <w:noProof/>
          <w:sz w:val="24"/>
          <w:szCs w:val="24"/>
        </w:rPr>
        <w:t xml:space="preserve">, </w:t>
      </w:r>
      <w:r w:rsidRPr="00D826C8">
        <w:rPr>
          <w:rFonts w:ascii="Times New Roman" w:hAnsi="Times New Roman"/>
          <w:i/>
          <w:iCs/>
          <w:noProof/>
          <w:sz w:val="24"/>
          <w:szCs w:val="24"/>
        </w:rPr>
        <w:t>31</w:t>
      </w:r>
      <w:r w:rsidRPr="00D826C8">
        <w:rPr>
          <w:rFonts w:ascii="Times New Roman" w:hAnsi="Times New Roman"/>
          <w:noProof/>
          <w:sz w:val="24"/>
          <w:szCs w:val="24"/>
        </w:rPr>
        <w:t>(1 SUPPL. 1), 381–384. https://doi.org/10.1590/s1415-47572008000200037</w:t>
      </w:r>
    </w:p>
    <w:p w14:paraId="1D2678B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Safir, M., Alimuddin, Setiawati, M., Junior, M. Z., &amp; Suprayudi, M. A. (2017). Growth Performance of Nile tilapia Immersed in 17α-methyltestosterone and rElGH, and Fed a Diet Enriched with rElGH. </w:t>
      </w:r>
      <w:r w:rsidRPr="00D826C8">
        <w:rPr>
          <w:rFonts w:ascii="Times New Roman" w:hAnsi="Times New Roman"/>
          <w:i/>
          <w:iCs/>
          <w:noProof/>
          <w:sz w:val="24"/>
          <w:szCs w:val="24"/>
        </w:rPr>
        <w:t>Omni-Akuatika</w:t>
      </w:r>
      <w:r w:rsidRPr="00D826C8">
        <w:rPr>
          <w:rFonts w:ascii="Times New Roman" w:hAnsi="Times New Roman"/>
          <w:noProof/>
          <w:sz w:val="24"/>
          <w:szCs w:val="24"/>
        </w:rPr>
        <w:t xml:space="preserve">, </w:t>
      </w:r>
      <w:r w:rsidRPr="00D826C8">
        <w:rPr>
          <w:rFonts w:ascii="Times New Roman" w:hAnsi="Times New Roman"/>
          <w:i/>
          <w:iCs/>
          <w:noProof/>
          <w:sz w:val="24"/>
          <w:szCs w:val="24"/>
        </w:rPr>
        <w:t>13</w:t>
      </w:r>
      <w:r w:rsidRPr="00D826C8">
        <w:rPr>
          <w:rFonts w:ascii="Times New Roman" w:hAnsi="Times New Roman"/>
          <w:noProof/>
          <w:sz w:val="24"/>
          <w:szCs w:val="24"/>
        </w:rPr>
        <w:t>(2), 57–64. https://doi.org/10.20884/1.oa.2017.13.2.288</w:t>
      </w:r>
    </w:p>
    <w:p w14:paraId="67F0C2CA"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Sembiring, A. A., Tarsim, &amp; Utomo, D. S. C. (2018). The use of recombinant growth hormone (rGH) in stimulating the growth of Black Ghost fish larvae (</w:t>
      </w:r>
      <w:r w:rsidRPr="003813B8">
        <w:rPr>
          <w:rFonts w:ascii="Times New Roman" w:hAnsi="Times New Roman"/>
          <w:i/>
          <w:iCs/>
          <w:noProof/>
          <w:sz w:val="24"/>
          <w:szCs w:val="24"/>
        </w:rPr>
        <w:t>Apteronotus albifrons</w:t>
      </w:r>
      <w:r w:rsidRPr="00D826C8">
        <w:rPr>
          <w:rFonts w:ascii="Times New Roman" w:hAnsi="Times New Roman"/>
          <w:noProof/>
          <w:sz w:val="24"/>
          <w:szCs w:val="24"/>
        </w:rPr>
        <w:t xml:space="preserve">). </w:t>
      </w:r>
      <w:r w:rsidRPr="00D826C8">
        <w:rPr>
          <w:rFonts w:ascii="Times New Roman" w:hAnsi="Times New Roman"/>
          <w:i/>
          <w:iCs/>
          <w:noProof/>
          <w:sz w:val="24"/>
          <w:szCs w:val="24"/>
        </w:rPr>
        <w:t>Jurnal Sains Teknologi Akuakultur</w:t>
      </w:r>
      <w:r w:rsidRPr="00D826C8">
        <w:rPr>
          <w:rFonts w:ascii="Times New Roman" w:hAnsi="Times New Roman"/>
          <w:noProof/>
          <w:sz w:val="24"/>
          <w:szCs w:val="24"/>
        </w:rPr>
        <w:t xml:space="preserve">, </w:t>
      </w:r>
      <w:r w:rsidRPr="00D826C8">
        <w:rPr>
          <w:rFonts w:ascii="Times New Roman" w:hAnsi="Times New Roman"/>
          <w:i/>
          <w:iCs/>
          <w:noProof/>
          <w:sz w:val="24"/>
          <w:szCs w:val="24"/>
        </w:rPr>
        <w:t>2</w:t>
      </w:r>
      <w:r w:rsidRPr="00D826C8">
        <w:rPr>
          <w:rFonts w:ascii="Times New Roman" w:hAnsi="Times New Roman"/>
          <w:noProof/>
          <w:sz w:val="24"/>
          <w:szCs w:val="24"/>
        </w:rPr>
        <w:t>(1), 51–56. http://digilib.unila.ac.id/30072/</w:t>
      </w:r>
    </w:p>
    <w:p w14:paraId="1A6DAAD5"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Setyawan, P. K. F., Rejeki, S., &amp; Nugroho, R. A. (2014). The effect of giving recombinant growth hormone (rGH) through immersion methods with different doses on survival and growth of Larasati tilapia larvae (</w:t>
      </w:r>
      <w:r w:rsidRPr="003813B8">
        <w:rPr>
          <w:rFonts w:ascii="Times New Roman" w:hAnsi="Times New Roman"/>
          <w:i/>
          <w:iCs/>
          <w:noProof/>
          <w:sz w:val="24"/>
          <w:szCs w:val="24"/>
        </w:rPr>
        <w:t>Oreochromis niloticus</w:t>
      </w:r>
      <w:r w:rsidRPr="00D826C8">
        <w:rPr>
          <w:rFonts w:ascii="Times New Roman" w:hAnsi="Times New Roman"/>
          <w:noProof/>
          <w:sz w:val="24"/>
          <w:szCs w:val="24"/>
        </w:rPr>
        <w:t xml:space="preserve">). </w:t>
      </w:r>
      <w:r w:rsidRPr="00D826C8">
        <w:rPr>
          <w:rFonts w:ascii="Times New Roman" w:hAnsi="Times New Roman"/>
          <w:i/>
          <w:iCs/>
          <w:noProof/>
          <w:sz w:val="24"/>
          <w:szCs w:val="24"/>
        </w:rPr>
        <w:t>Journal of Aquaculture Management and Technology</w:t>
      </w:r>
      <w:r w:rsidRPr="00D826C8">
        <w:rPr>
          <w:rFonts w:ascii="Times New Roman" w:hAnsi="Times New Roman"/>
          <w:noProof/>
          <w:sz w:val="24"/>
          <w:szCs w:val="24"/>
        </w:rPr>
        <w:t xml:space="preserve">, </w:t>
      </w:r>
      <w:r w:rsidRPr="00D826C8">
        <w:rPr>
          <w:rFonts w:ascii="Times New Roman" w:hAnsi="Times New Roman"/>
          <w:i/>
          <w:iCs/>
          <w:noProof/>
          <w:sz w:val="24"/>
          <w:szCs w:val="24"/>
        </w:rPr>
        <w:t>3</w:t>
      </w:r>
      <w:r w:rsidRPr="00D826C8">
        <w:rPr>
          <w:rFonts w:ascii="Times New Roman" w:hAnsi="Times New Roman"/>
          <w:noProof/>
          <w:sz w:val="24"/>
          <w:szCs w:val="24"/>
        </w:rPr>
        <w:t>(2), 69–76. https://ejournal3.undip.ac.id/index.php/jamt/article/view/5061</w:t>
      </w:r>
    </w:p>
    <w:p w14:paraId="7C3F72FC"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Slater, E. P., Baxter, J. D., &amp; Eberhardt, N. L. (1986). Evolution of the growth </w:t>
      </w:r>
      <w:r w:rsidRPr="00D826C8">
        <w:rPr>
          <w:rFonts w:ascii="Times New Roman" w:hAnsi="Times New Roman"/>
          <w:noProof/>
          <w:sz w:val="24"/>
          <w:szCs w:val="24"/>
        </w:rPr>
        <w:lastRenderedPageBreak/>
        <w:t xml:space="preserve">hormone gene family. </w:t>
      </w:r>
      <w:r w:rsidRPr="00D826C8">
        <w:rPr>
          <w:rFonts w:ascii="Times New Roman" w:hAnsi="Times New Roman"/>
          <w:i/>
          <w:iCs/>
          <w:noProof/>
          <w:sz w:val="24"/>
          <w:szCs w:val="24"/>
        </w:rPr>
        <w:t>Integrative and Comparative Biology</w:t>
      </w:r>
      <w:r w:rsidRPr="00D826C8">
        <w:rPr>
          <w:rFonts w:ascii="Times New Roman" w:hAnsi="Times New Roman"/>
          <w:noProof/>
          <w:sz w:val="24"/>
          <w:szCs w:val="24"/>
        </w:rPr>
        <w:t xml:space="preserve">, </w:t>
      </w:r>
      <w:r w:rsidRPr="00D826C8">
        <w:rPr>
          <w:rFonts w:ascii="Times New Roman" w:hAnsi="Times New Roman"/>
          <w:i/>
          <w:iCs/>
          <w:noProof/>
          <w:sz w:val="24"/>
          <w:szCs w:val="24"/>
        </w:rPr>
        <w:t>26</w:t>
      </w:r>
      <w:r w:rsidRPr="00D826C8">
        <w:rPr>
          <w:rFonts w:ascii="Times New Roman" w:hAnsi="Times New Roman"/>
          <w:noProof/>
          <w:sz w:val="24"/>
          <w:szCs w:val="24"/>
        </w:rPr>
        <w:t>(4), 939–949. https://doi.org/10.1093/icb/26.4.939</w:t>
      </w:r>
    </w:p>
    <w:p w14:paraId="292B23EF"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Syarifudin, M., Alimuddin, Widyastuti, U., &amp; Aliah, R. S. (2007). cDNA encoding growth hormone from humpbac grouper (</w:t>
      </w:r>
      <w:r w:rsidRPr="003813B8">
        <w:rPr>
          <w:rFonts w:ascii="Times New Roman" w:hAnsi="Times New Roman"/>
          <w:i/>
          <w:iCs/>
          <w:noProof/>
          <w:sz w:val="24"/>
          <w:szCs w:val="24"/>
        </w:rPr>
        <w:t>Cromileptes altivelis</w:t>
      </w:r>
      <w:r w:rsidRPr="00D826C8">
        <w:rPr>
          <w:rFonts w:ascii="Times New Roman" w:hAnsi="Times New Roman"/>
          <w:noProof/>
          <w:sz w:val="24"/>
          <w:szCs w:val="24"/>
        </w:rPr>
        <w:t xml:space="preserve">). </w:t>
      </w:r>
      <w:r w:rsidRPr="00D826C8">
        <w:rPr>
          <w:rFonts w:ascii="Times New Roman" w:hAnsi="Times New Roman"/>
          <w:i/>
          <w:iCs/>
          <w:noProof/>
          <w:sz w:val="24"/>
          <w:szCs w:val="24"/>
        </w:rPr>
        <w:t>Biotropia</w:t>
      </w:r>
      <w:r w:rsidRPr="00D826C8">
        <w:rPr>
          <w:rFonts w:ascii="Times New Roman" w:hAnsi="Times New Roman"/>
          <w:noProof/>
          <w:sz w:val="24"/>
          <w:szCs w:val="24"/>
        </w:rPr>
        <w:t xml:space="preserve">, </w:t>
      </w:r>
      <w:r w:rsidRPr="00D826C8">
        <w:rPr>
          <w:rFonts w:ascii="Times New Roman" w:hAnsi="Times New Roman"/>
          <w:i/>
          <w:iCs/>
          <w:noProof/>
          <w:sz w:val="24"/>
          <w:szCs w:val="24"/>
        </w:rPr>
        <w:t>14</w:t>
      </w:r>
      <w:r w:rsidRPr="00D826C8">
        <w:rPr>
          <w:rFonts w:ascii="Times New Roman" w:hAnsi="Times New Roman"/>
          <w:noProof/>
          <w:sz w:val="24"/>
          <w:szCs w:val="24"/>
        </w:rPr>
        <w:t>(2), 1–8. https://doi.org/https://doi.org/10.11598/btb.2007.14.2.14</w:t>
      </w:r>
    </w:p>
    <w:p w14:paraId="770E615C"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Tang, X., Ye, X., Wu, Q., Tang, Y., &amp; Zhang, D. (2021). Molecular characterization and expression analysis of a novel C-type lectin ( CTL ) gene in yellow catfish </w:t>
      </w:r>
      <w:r w:rsidRPr="003813B8">
        <w:rPr>
          <w:rFonts w:ascii="Times New Roman" w:hAnsi="Times New Roman"/>
          <w:i/>
          <w:iCs/>
          <w:noProof/>
          <w:sz w:val="24"/>
          <w:szCs w:val="24"/>
        </w:rPr>
        <w:t>Pelteobagrus fulvidraco</w:t>
      </w:r>
      <w:r w:rsidRPr="00D826C8">
        <w:rPr>
          <w:rFonts w:ascii="Times New Roman" w:hAnsi="Times New Roman"/>
          <w:noProof/>
          <w:sz w:val="24"/>
          <w:szCs w:val="24"/>
        </w:rPr>
        <w:t xml:space="preserve">. </w:t>
      </w:r>
      <w:r w:rsidRPr="00D826C8">
        <w:rPr>
          <w:rFonts w:ascii="Times New Roman" w:hAnsi="Times New Roman"/>
          <w:i/>
          <w:iCs/>
          <w:noProof/>
          <w:sz w:val="24"/>
          <w:szCs w:val="24"/>
        </w:rPr>
        <w:t>Aquaculture Reports</w:t>
      </w:r>
      <w:r w:rsidRPr="00D826C8">
        <w:rPr>
          <w:rFonts w:ascii="Times New Roman" w:hAnsi="Times New Roman"/>
          <w:noProof/>
          <w:sz w:val="24"/>
          <w:szCs w:val="24"/>
        </w:rPr>
        <w:t xml:space="preserve">, </w:t>
      </w:r>
      <w:r w:rsidRPr="00D826C8">
        <w:rPr>
          <w:rFonts w:ascii="Times New Roman" w:hAnsi="Times New Roman"/>
          <w:i/>
          <w:iCs/>
          <w:noProof/>
          <w:sz w:val="24"/>
          <w:szCs w:val="24"/>
        </w:rPr>
        <w:t>20</w:t>
      </w:r>
      <w:r w:rsidRPr="00D826C8">
        <w:rPr>
          <w:rFonts w:ascii="Times New Roman" w:hAnsi="Times New Roman"/>
          <w:noProof/>
          <w:sz w:val="24"/>
          <w:szCs w:val="24"/>
        </w:rPr>
        <w:t>(February), 100640. https://doi.org/10.1016/j.aqrep.2021.100640</w:t>
      </w:r>
    </w:p>
    <w:p w14:paraId="7DBA08F2"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szCs w:val="24"/>
        </w:rPr>
      </w:pPr>
      <w:r w:rsidRPr="00D826C8">
        <w:rPr>
          <w:rFonts w:ascii="Times New Roman" w:hAnsi="Times New Roman"/>
          <w:noProof/>
          <w:sz w:val="24"/>
          <w:szCs w:val="24"/>
        </w:rPr>
        <w:t xml:space="preserve">Triwinarso, W. H., Basuki, F., &amp; Yuniarti, T. (2014). Effect of Recombinant of Growth Hormone (rGH) through Immersion Method with Different Time on Growth and Survival Catfish Varieties Sangkuriang. </w:t>
      </w:r>
      <w:r w:rsidRPr="00D826C8">
        <w:rPr>
          <w:rFonts w:ascii="Times New Roman" w:hAnsi="Times New Roman"/>
          <w:i/>
          <w:iCs/>
          <w:noProof/>
          <w:sz w:val="24"/>
          <w:szCs w:val="24"/>
        </w:rPr>
        <w:t>Journal of Aquaculture Management and Technology</w:t>
      </w:r>
      <w:r w:rsidRPr="00D826C8">
        <w:rPr>
          <w:rFonts w:ascii="Times New Roman" w:hAnsi="Times New Roman"/>
          <w:noProof/>
          <w:sz w:val="24"/>
          <w:szCs w:val="24"/>
        </w:rPr>
        <w:t xml:space="preserve">, </w:t>
      </w:r>
      <w:r w:rsidRPr="00D826C8">
        <w:rPr>
          <w:rFonts w:ascii="Times New Roman" w:hAnsi="Times New Roman"/>
          <w:i/>
          <w:iCs/>
          <w:noProof/>
          <w:sz w:val="24"/>
          <w:szCs w:val="24"/>
        </w:rPr>
        <w:t>3</w:t>
      </w:r>
      <w:r w:rsidRPr="00D826C8">
        <w:rPr>
          <w:rFonts w:ascii="Times New Roman" w:hAnsi="Times New Roman"/>
          <w:noProof/>
          <w:sz w:val="24"/>
          <w:szCs w:val="24"/>
        </w:rPr>
        <w:t>(4), 265–272. http://ejournal-s1.undip.ac.id/index.php/jfpik</w:t>
      </w:r>
    </w:p>
    <w:p w14:paraId="64F615F0" w14:textId="77777777" w:rsidR="00D826C8" w:rsidRPr="00D826C8" w:rsidRDefault="00D826C8" w:rsidP="00990E2D">
      <w:pPr>
        <w:widowControl w:val="0"/>
        <w:autoSpaceDE w:val="0"/>
        <w:autoSpaceDN w:val="0"/>
        <w:adjustRightInd w:val="0"/>
        <w:spacing w:line="240" w:lineRule="auto"/>
        <w:ind w:left="480" w:hanging="480"/>
        <w:jc w:val="both"/>
        <w:rPr>
          <w:rFonts w:ascii="Times New Roman" w:hAnsi="Times New Roman"/>
          <w:noProof/>
          <w:sz w:val="24"/>
        </w:rPr>
      </w:pPr>
      <w:r w:rsidRPr="00D826C8">
        <w:rPr>
          <w:rFonts w:ascii="Times New Roman" w:hAnsi="Times New Roman"/>
          <w:noProof/>
          <w:sz w:val="24"/>
          <w:szCs w:val="24"/>
        </w:rPr>
        <w:t xml:space="preserve">Wood, A. W., Duan, C., &amp; Bern, H. A. (2005). Insulin-like growth factor signaling in fish. </w:t>
      </w:r>
      <w:r w:rsidRPr="00D826C8">
        <w:rPr>
          <w:rFonts w:ascii="Times New Roman" w:hAnsi="Times New Roman"/>
          <w:i/>
          <w:iCs/>
          <w:noProof/>
          <w:sz w:val="24"/>
          <w:szCs w:val="24"/>
        </w:rPr>
        <w:t>International Review of Cytology</w:t>
      </w:r>
      <w:r w:rsidRPr="00D826C8">
        <w:rPr>
          <w:rFonts w:ascii="Times New Roman" w:hAnsi="Times New Roman"/>
          <w:noProof/>
          <w:sz w:val="24"/>
          <w:szCs w:val="24"/>
        </w:rPr>
        <w:t xml:space="preserve">, </w:t>
      </w:r>
      <w:r w:rsidRPr="00D826C8">
        <w:rPr>
          <w:rFonts w:ascii="Times New Roman" w:hAnsi="Times New Roman"/>
          <w:i/>
          <w:iCs/>
          <w:noProof/>
          <w:sz w:val="24"/>
          <w:szCs w:val="24"/>
        </w:rPr>
        <w:t>243</w:t>
      </w:r>
      <w:r w:rsidRPr="00D826C8">
        <w:rPr>
          <w:rFonts w:ascii="Times New Roman" w:hAnsi="Times New Roman"/>
          <w:noProof/>
          <w:sz w:val="24"/>
          <w:szCs w:val="24"/>
        </w:rPr>
        <w:t>, 215–285. https://doi.org/10.1016/S0074-7696(05)43004-1</w:t>
      </w:r>
    </w:p>
    <w:p w14:paraId="6ADBCF4E" w14:textId="52F9BA55" w:rsidR="002F57C4" w:rsidRPr="00D826C8" w:rsidRDefault="003322AE" w:rsidP="00990E2D">
      <w:pPr>
        <w:spacing w:line="240" w:lineRule="auto"/>
        <w:jc w:val="both"/>
        <w:rPr>
          <w:rFonts w:ascii="Times New Roman" w:hAnsi="Times New Roman"/>
          <w:sz w:val="24"/>
          <w:szCs w:val="24"/>
        </w:rPr>
      </w:pPr>
      <w:r w:rsidRPr="00D826C8">
        <w:rPr>
          <w:rFonts w:ascii="Times New Roman" w:hAnsi="Times New Roman"/>
          <w:sz w:val="24"/>
          <w:szCs w:val="24"/>
        </w:rPr>
        <w:fldChar w:fldCharType="end"/>
      </w:r>
    </w:p>
    <w:sectPr w:rsidR="002F57C4" w:rsidRPr="00D826C8" w:rsidSect="003813B8">
      <w:footerReference w:type="default" r:id="rId17"/>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97EF" w14:textId="77777777" w:rsidR="00350DBA" w:rsidRDefault="00350DBA" w:rsidP="003C5DA6">
      <w:pPr>
        <w:spacing w:after="0" w:line="240" w:lineRule="auto"/>
      </w:pPr>
      <w:r>
        <w:separator/>
      </w:r>
    </w:p>
  </w:endnote>
  <w:endnote w:type="continuationSeparator" w:id="0">
    <w:p w14:paraId="3FC32D72" w14:textId="77777777" w:rsidR="00350DBA" w:rsidRDefault="00350DBA" w:rsidP="003C5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588467"/>
      <w:docPartObj>
        <w:docPartGallery w:val="Page Numbers (Bottom of Page)"/>
        <w:docPartUnique/>
      </w:docPartObj>
    </w:sdtPr>
    <w:sdtEndPr>
      <w:rPr>
        <w:noProof/>
      </w:rPr>
    </w:sdtEndPr>
    <w:sdtContent>
      <w:p w14:paraId="1BE9B338" w14:textId="13433735" w:rsidR="003C5DA6" w:rsidRDefault="003C5D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C43F0A" w14:textId="77777777" w:rsidR="003C5DA6" w:rsidRDefault="003C5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BEB8" w14:textId="77777777" w:rsidR="00350DBA" w:rsidRDefault="00350DBA" w:rsidP="003C5DA6">
      <w:pPr>
        <w:spacing w:after="0" w:line="240" w:lineRule="auto"/>
      </w:pPr>
      <w:r>
        <w:separator/>
      </w:r>
    </w:p>
  </w:footnote>
  <w:footnote w:type="continuationSeparator" w:id="0">
    <w:p w14:paraId="040046A3" w14:textId="77777777" w:rsidR="00350DBA" w:rsidRDefault="00350DBA" w:rsidP="003C5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069B"/>
    <w:multiLevelType w:val="hybridMultilevel"/>
    <w:tmpl w:val="3BF6A7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95C467C"/>
    <w:multiLevelType w:val="hybridMultilevel"/>
    <w:tmpl w:val="A418A6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0277FDC"/>
    <w:multiLevelType w:val="hybridMultilevel"/>
    <w:tmpl w:val="57582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S0MDcyszAwsrAwtDBW0lEKTi0uzszPAykwrAUAhntKmywAAAA="/>
  </w:docVars>
  <w:rsids>
    <w:rsidRoot w:val="00B42900"/>
    <w:rsid w:val="0001266E"/>
    <w:rsid w:val="00053058"/>
    <w:rsid w:val="00067D41"/>
    <w:rsid w:val="00092A32"/>
    <w:rsid w:val="000C50F3"/>
    <w:rsid w:val="000D7D92"/>
    <w:rsid w:val="000F4F26"/>
    <w:rsid w:val="0010050C"/>
    <w:rsid w:val="001403BD"/>
    <w:rsid w:val="001533D6"/>
    <w:rsid w:val="00162CC9"/>
    <w:rsid w:val="0018256B"/>
    <w:rsid w:val="001B3FA5"/>
    <w:rsid w:val="001C1972"/>
    <w:rsid w:val="001C3586"/>
    <w:rsid w:val="001C7FCB"/>
    <w:rsid w:val="001E3D94"/>
    <w:rsid w:val="00217A6C"/>
    <w:rsid w:val="00222B5C"/>
    <w:rsid w:val="00237B45"/>
    <w:rsid w:val="00253125"/>
    <w:rsid w:val="00276120"/>
    <w:rsid w:val="00296660"/>
    <w:rsid w:val="002A11B0"/>
    <w:rsid w:val="002C2134"/>
    <w:rsid w:val="002D49FB"/>
    <w:rsid w:val="002E67A4"/>
    <w:rsid w:val="002E6E04"/>
    <w:rsid w:val="002F57C4"/>
    <w:rsid w:val="003322AE"/>
    <w:rsid w:val="003342E4"/>
    <w:rsid w:val="003452AC"/>
    <w:rsid w:val="00350DBA"/>
    <w:rsid w:val="00355458"/>
    <w:rsid w:val="00380FAC"/>
    <w:rsid w:val="003813B8"/>
    <w:rsid w:val="003C1081"/>
    <w:rsid w:val="003C5DA6"/>
    <w:rsid w:val="003E459C"/>
    <w:rsid w:val="004932E6"/>
    <w:rsid w:val="004E5134"/>
    <w:rsid w:val="005063D9"/>
    <w:rsid w:val="00527443"/>
    <w:rsid w:val="0054328E"/>
    <w:rsid w:val="005442A5"/>
    <w:rsid w:val="00544967"/>
    <w:rsid w:val="00552FBC"/>
    <w:rsid w:val="00560169"/>
    <w:rsid w:val="0056197F"/>
    <w:rsid w:val="0058024A"/>
    <w:rsid w:val="00596E4D"/>
    <w:rsid w:val="00617695"/>
    <w:rsid w:val="0064598D"/>
    <w:rsid w:val="00677A25"/>
    <w:rsid w:val="00694D58"/>
    <w:rsid w:val="006C233D"/>
    <w:rsid w:val="006C44E0"/>
    <w:rsid w:val="006E3065"/>
    <w:rsid w:val="006E78B9"/>
    <w:rsid w:val="007262C8"/>
    <w:rsid w:val="00754C60"/>
    <w:rsid w:val="00770D1A"/>
    <w:rsid w:val="00777A38"/>
    <w:rsid w:val="007F5E0D"/>
    <w:rsid w:val="007F6E87"/>
    <w:rsid w:val="007F78A0"/>
    <w:rsid w:val="00833F33"/>
    <w:rsid w:val="00863FA6"/>
    <w:rsid w:val="00865AAF"/>
    <w:rsid w:val="008B6480"/>
    <w:rsid w:val="008C61EE"/>
    <w:rsid w:val="008F465E"/>
    <w:rsid w:val="00900A81"/>
    <w:rsid w:val="00902050"/>
    <w:rsid w:val="00930F58"/>
    <w:rsid w:val="009476A5"/>
    <w:rsid w:val="0095520B"/>
    <w:rsid w:val="0096233C"/>
    <w:rsid w:val="00990E2D"/>
    <w:rsid w:val="00993BDF"/>
    <w:rsid w:val="009A01C6"/>
    <w:rsid w:val="009B68AE"/>
    <w:rsid w:val="009C32BB"/>
    <w:rsid w:val="009E5165"/>
    <w:rsid w:val="00A11EFA"/>
    <w:rsid w:val="00A53264"/>
    <w:rsid w:val="00A910FC"/>
    <w:rsid w:val="00AD3410"/>
    <w:rsid w:val="00B00FAF"/>
    <w:rsid w:val="00B169B0"/>
    <w:rsid w:val="00B17142"/>
    <w:rsid w:val="00B41BB2"/>
    <w:rsid w:val="00B42900"/>
    <w:rsid w:val="00B56185"/>
    <w:rsid w:val="00B7647E"/>
    <w:rsid w:val="00B941CB"/>
    <w:rsid w:val="00BE57E8"/>
    <w:rsid w:val="00C26768"/>
    <w:rsid w:val="00C33201"/>
    <w:rsid w:val="00C4002A"/>
    <w:rsid w:val="00C51DE7"/>
    <w:rsid w:val="00C71ADD"/>
    <w:rsid w:val="00C73243"/>
    <w:rsid w:val="00C73349"/>
    <w:rsid w:val="00CA3DF5"/>
    <w:rsid w:val="00CC2953"/>
    <w:rsid w:val="00CC3D47"/>
    <w:rsid w:val="00CE1795"/>
    <w:rsid w:val="00D071B3"/>
    <w:rsid w:val="00D31E69"/>
    <w:rsid w:val="00D330F1"/>
    <w:rsid w:val="00D612CC"/>
    <w:rsid w:val="00D67CB9"/>
    <w:rsid w:val="00D826C8"/>
    <w:rsid w:val="00DB1A3F"/>
    <w:rsid w:val="00DD479A"/>
    <w:rsid w:val="00DE4C5E"/>
    <w:rsid w:val="00E24F34"/>
    <w:rsid w:val="00E5016A"/>
    <w:rsid w:val="00E540BE"/>
    <w:rsid w:val="00E5743E"/>
    <w:rsid w:val="00E73308"/>
    <w:rsid w:val="00F4256B"/>
    <w:rsid w:val="00F453C3"/>
    <w:rsid w:val="00F52148"/>
    <w:rsid w:val="00F52EEA"/>
    <w:rsid w:val="00F53A77"/>
    <w:rsid w:val="00F6132D"/>
    <w:rsid w:val="00F6196E"/>
    <w:rsid w:val="00F62907"/>
    <w:rsid w:val="00F644F6"/>
    <w:rsid w:val="00F67774"/>
    <w:rsid w:val="00F706F0"/>
    <w:rsid w:val="00F8721A"/>
    <w:rsid w:val="00FD184F"/>
    <w:rsid w:val="00FE65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2980"/>
  <w15:docId w15:val="{36C121F5-A732-4F61-BF19-1E0143A07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00"/>
    <w:rPr>
      <w:rFonts w:ascii="Calibri" w:eastAsia="Times New Roman" w:hAnsi="Calibri" w:cs="Times New Roman"/>
      <w:lang w:val="en-US"/>
    </w:rPr>
  </w:style>
  <w:style w:type="paragraph" w:styleId="Heading2">
    <w:name w:val="heading 2"/>
    <w:basedOn w:val="Normal"/>
    <w:next w:val="Normal"/>
    <w:link w:val="Heading2Char"/>
    <w:uiPriority w:val="9"/>
    <w:semiHidden/>
    <w:unhideWhenUsed/>
    <w:qFormat/>
    <w:rsid w:val="00D612CC"/>
    <w:pPr>
      <w:keepNext/>
      <w:keepLines/>
      <w:spacing w:before="40" w:after="0"/>
      <w:outlineLvl w:val="1"/>
    </w:pPr>
    <w:rPr>
      <w:rFonts w:ascii="Calibri Light" w:hAnsi="Calibri Light"/>
      <w:color w:val="2F5496"/>
      <w:sz w:val="26"/>
      <w:szCs w:val="26"/>
    </w:rPr>
  </w:style>
  <w:style w:type="paragraph" w:styleId="Heading3">
    <w:name w:val="heading 3"/>
    <w:basedOn w:val="Normal"/>
    <w:link w:val="Heading3Char"/>
    <w:uiPriority w:val="9"/>
    <w:qFormat/>
    <w:rsid w:val="00D612CC"/>
    <w:pPr>
      <w:spacing w:before="100" w:beforeAutospacing="1" w:after="100" w:afterAutospacing="1" w:line="240" w:lineRule="auto"/>
      <w:outlineLvl w:val="2"/>
    </w:pPr>
    <w:rPr>
      <w:rFonts w:ascii="Times New Roman" w:hAnsi="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612CC"/>
    <w:rPr>
      <w:rFonts w:ascii="Calibri Light" w:eastAsia="Times New Roman" w:hAnsi="Calibri Light" w:cs="Times New Roman"/>
      <w:color w:val="2F5496"/>
      <w:sz w:val="26"/>
      <w:szCs w:val="26"/>
      <w:lang w:val="en-US"/>
    </w:rPr>
  </w:style>
  <w:style w:type="character" w:customStyle="1" w:styleId="Heading3Char">
    <w:name w:val="Heading 3 Char"/>
    <w:basedOn w:val="DefaultParagraphFont"/>
    <w:link w:val="Heading3"/>
    <w:uiPriority w:val="9"/>
    <w:rsid w:val="00D612CC"/>
    <w:rPr>
      <w:rFonts w:ascii="Times New Roman" w:eastAsia="Times New Roman" w:hAnsi="Times New Roman" w:cs="Times New Roman"/>
      <w:b/>
      <w:bCs/>
      <w:sz w:val="27"/>
      <w:szCs w:val="27"/>
      <w:lang w:eastAsia="en-ID"/>
    </w:rPr>
  </w:style>
  <w:style w:type="paragraph" w:styleId="ListParagraph">
    <w:name w:val="List Paragraph"/>
    <w:basedOn w:val="Normal"/>
    <w:uiPriority w:val="34"/>
    <w:qFormat/>
    <w:rsid w:val="00D612CC"/>
    <w:pPr>
      <w:ind w:left="720"/>
      <w:contextualSpacing/>
    </w:pPr>
  </w:style>
  <w:style w:type="table" w:styleId="TableGrid">
    <w:name w:val="Table Grid"/>
    <w:basedOn w:val="TableNormal"/>
    <w:uiPriority w:val="39"/>
    <w:rsid w:val="00D612CC"/>
    <w:pPr>
      <w:spacing w:after="0" w:line="240" w:lineRule="auto"/>
    </w:pPr>
    <w:rPr>
      <w:rFonts w:ascii="Calibri" w:eastAsia="Calibri" w:hAnsi="Calibri" w:cs="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1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2CC"/>
    <w:rPr>
      <w:rFonts w:ascii="Calibri" w:eastAsia="Times New Roman" w:hAnsi="Calibri" w:cs="Times New Roman"/>
      <w:lang w:val="en-US"/>
    </w:rPr>
  </w:style>
  <w:style w:type="paragraph" w:styleId="Footer">
    <w:name w:val="footer"/>
    <w:basedOn w:val="Normal"/>
    <w:link w:val="FooterChar"/>
    <w:uiPriority w:val="99"/>
    <w:unhideWhenUsed/>
    <w:rsid w:val="00D61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2CC"/>
    <w:rPr>
      <w:rFonts w:ascii="Calibri" w:eastAsia="Times New Roman" w:hAnsi="Calibri" w:cs="Times New Roman"/>
      <w:lang w:val="en-US"/>
    </w:rPr>
  </w:style>
  <w:style w:type="character" w:styleId="Hyperlink">
    <w:name w:val="Hyperlink"/>
    <w:uiPriority w:val="99"/>
    <w:semiHidden/>
    <w:unhideWhenUsed/>
    <w:rsid w:val="00D612CC"/>
    <w:rPr>
      <w:color w:val="0000FF"/>
      <w:u w:val="single"/>
    </w:rPr>
  </w:style>
  <w:style w:type="character" w:styleId="CommentReference">
    <w:name w:val="annotation reference"/>
    <w:uiPriority w:val="99"/>
    <w:semiHidden/>
    <w:unhideWhenUsed/>
    <w:rsid w:val="00D612CC"/>
    <w:rPr>
      <w:sz w:val="16"/>
      <w:szCs w:val="16"/>
    </w:rPr>
  </w:style>
  <w:style w:type="paragraph" w:styleId="CommentText">
    <w:name w:val="annotation text"/>
    <w:basedOn w:val="Normal"/>
    <w:link w:val="CommentTextChar"/>
    <w:uiPriority w:val="99"/>
    <w:unhideWhenUsed/>
    <w:rsid w:val="00D612CC"/>
    <w:pPr>
      <w:spacing w:line="240" w:lineRule="auto"/>
    </w:pPr>
    <w:rPr>
      <w:sz w:val="20"/>
      <w:szCs w:val="20"/>
    </w:rPr>
  </w:style>
  <w:style w:type="character" w:customStyle="1" w:styleId="CommentTextChar">
    <w:name w:val="Comment Text Char"/>
    <w:basedOn w:val="DefaultParagraphFont"/>
    <w:link w:val="CommentText"/>
    <w:uiPriority w:val="99"/>
    <w:rsid w:val="00D612CC"/>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612CC"/>
    <w:rPr>
      <w:b/>
      <w:bCs/>
    </w:rPr>
  </w:style>
  <w:style w:type="character" w:customStyle="1" w:styleId="CommentSubjectChar">
    <w:name w:val="Comment Subject Char"/>
    <w:basedOn w:val="CommentTextChar"/>
    <w:link w:val="CommentSubject"/>
    <w:uiPriority w:val="99"/>
    <w:semiHidden/>
    <w:rsid w:val="00D612CC"/>
    <w:rPr>
      <w:rFonts w:ascii="Calibri" w:eastAsia="Times New Roman" w:hAnsi="Calibri" w:cs="Times New Roman"/>
      <w:b/>
      <w:bCs/>
      <w:sz w:val="20"/>
      <w:szCs w:val="20"/>
      <w:lang w:val="en-US"/>
    </w:rPr>
  </w:style>
  <w:style w:type="paragraph" w:styleId="BalloonText">
    <w:name w:val="Balloon Text"/>
    <w:basedOn w:val="Normal"/>
    <w:link w:val="BalloonTextChar"/>
    <w:uiPriority w:val="99"/>
    <w:semiHidden/>
    <w:unhideWhenUsed/>
    <w:rsid w:val="00D61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2CC"/>
    <w:rPr>
      <w:rFonts w:ascii="Segoe UI" w:eastAsia="Times New Roman" w:hAnsi="Segoe UI" w:cs="Segoe UI"/>
      <w:sz w:val="18"/>
      <w:szCs w:val="18"/>
      <w:lang w:val="en-US"/>
    </w:rPr>
  </w:style>
  <w:style w:type="paragraph" w:styleId="Revision">
    <w:name w:val="Revision"/>
    <w:hidden/>
    <w:uiPriority w:val="99"/>
    <w:semiHidden/>
    <w:rsid w:val="00D612CC"/>
    <w:pPr>
      <w:spacing w:after="0" w:line="240" w:lineRule="auto"/>
    </w:pPr>
    <w:rPr>
      <w:rFonts w:ascii="Calibri" w:eastAsia="Times New Roman" w:hAnsi="Calibri" w:cs="Times New Roman"/>
      <w:lang w:val="en-US"/>
    </w:rPr>
  </w:style>
  <w:style w:type="table" w:styleId="ListTable6Colorful">
    <w:name w:val="List Table 6 Colorful"/>
    <w:basedOn w:val="TableNormal"/>
    <w:uiPriority w:val="51"/>
    <w:rsid w:val="00DE4C5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3C5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mofisher.com/order/catalog/product/K1081"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057F-0A51-4926-98BC-5B7116D61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23061</Words>
  <Characters>131452</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 PRIMANITA HAYUNINGTYAS</dc:creator>
  <cp:keywords/>
  <dc:description/>
  <cp:lastModifiedBy>ERMA PRIMANITA HAYUNINGTYAS</cp:lastModifiedBy>
  <cp:revision>2</cp:revision>
  <dcterms:created xsi:type="dcterms:W3CDTF">2022-04-05T05:07:00Z</dcterms:created>
  <dcterms:modified xsi:type="dcterms:W3CDTF">2022-04-05T05:07:00Z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0df915c3-efb8-3ca8-b57b-a15a04419e05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http://www.zotero.org/styles/asian-fisheries-science</vt:lpwstr>
  </property>
  <property fmtid="{D5CDD505-2E9C-101B-9397-08002B2CF9AE}" pid="14" name="Mendeley Recent Style Name 4_1">
    <vt:lpwstr>Asian Fisheries Science </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