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76CBD" w14:textId="48CD3064" w:rsidR="00B258B1" w:rsidRPr="00173249" w:rsidRDefault="00D14382" w:rsidP="000004FB">
      <w:pPr>
        <w:spacing w:after="0" w:line="240" w:lineRule="auto"/>
        <w:jc w:val="center"/>
        <w:rPr>
          <w:rFonts w:ascii="Times New Roman" w:hAnsi="Times New Roman"/>
          <w:b/>
          <w:bCs/>
          <w:sz w:val="24"/>
          <w:szCs w:val="24"/>
        </w:rPr>
      </w:pPr>
      <w:r w:rsidRPr="00173249">
        <w:rPr>
          <w:rFonts w:ascii="Times New Roman" w:hAnsi="Times New Roman"/>
          <w:b/>
          <w:bCs/>
          <w:sz w:val="24"/>
          <w:szCs w:val="24"/>
        </w:rPr>
        <w:t>K</w:t>
      </w:r>
      <w:r w:rsidR="00B258B1" w:rsidRPr="00173249">
        <w:rPr>
          <w:rFonts w:ascii="Times New Roman" w:hAnsi="Times New Roman"/>
          <w:b/>
          <w:bCs/>
          <w:sz w:val="24"/>
          <w:szCs w:val="24"/>
        </w:rPr>
        <w:t xml:space="preserve">ombinasi </w:t>
      </w:r>
      <w:r w:rsidR="00C76DE0" w:rsidRPr="00173249">
        <w:rPr>
          <w:rFonts w:ascii="Times New Roman" w:hAnsi="Times New Roman"/>
          <w:b/>
          <w:bCs/>
          <w:sz w:val="24"/>
          <w:szCs w:val="24"/>
        </w:rPr>
        <w:t xml:space="preserve">sirih </w:t>
      </w:r>
      <w:r w:rsidR="00B258B1" w:rsidRPr="00173249">
        <w:rPr>
          <w:rFonts w:ascii="Times New Roman" w:hAnsi="Times New Roman"/>
          <w:b/>
          <w:bCs/>
          <w:sz w:val="24"/>
          <w:szCs w:val="24"/>
        </w:rPr>
        <w:t xml:space="preserve">dan </w:t>
      </w:r>
      <w:r w:rsidR="00C76DE0" w:rsidRPr="00173249">
        <w:rPr>
          <w:rFonts w:ascii="Times New Roman" w:hAnsi="Times New Roman"/>
          <w:b/>
          <w:bCs/>
          <w:sz w:val="24"/>
          <w:szCs w:val="24"/>
        </w:rPr>
        <w:t xml:space="preserve">kipahit </w:t>
      </w:r>
      <w:r w:rsidR="00B258B1" w:rsidRPr="00173249">
        <w:rPr>
          <w:rFonts w:ascii="Times New Roman" w:hAnsi="Times New Roman"/>
          <w:b/>
          <w:bCs/>
          <w:sz w:val="24"/>
          <w:szCs w:val="24"/>
        </w:rPr>
        <w:t xml:space="preserve">sebagai Immunostimulan </w:t>
      </w:r>
      <w:r w:rsidRPr="00173249">
        <w:rPr>
          <w:rFonts w:ascii="Times New Roman" w:hAnsi="Times New Roman"/>
          <w:b/>
          <w:bCs/>
          <w:sz w:val="24"/>
          <w:szCs w:val="24"/>
        </w:rPr>
        <w:t xml:space="preserve">terhadap penyakit </w:t>
      </w:r>
      <w:r w:rsidRPr="00173249">
        <w:rPr>
          <w:rFonts w:ascii="Times New Roman" w:hAnsi="Times New Roman"/>
          <w:b/>
          <w:bCs/>
          <w:i/>
          <w:iCs/>
          <w:sz w:val="24"/>
          <w:szCs w:val="24"/>
        </w:rPr>
        <w:t>Streptococcosis</w:t>
      </w:r>
      <w:r w:rsidRPr="00173249">
        <w:rPr>
          <w:rFonts w:ascii="Times New Roman" w:hAnsi="Times New Roman"/>
          <w:b/>
          <w:bCs/>
          <w:sz w:val="24"/>
          <w:szCs w:val="24"/>
        </w:rPr>
        <w:t xml:space="preserve"> </w:t>
      </w:r>
      <w:r w:rsidR="00B258B1" w:rsidRPr="00173249">
        <w:rPr>
          <w:rFonts w:ascii="Times New Roman" w:hAnsi="Times New Roman"/>
          <w:b/>
          <w:bCs/>
          <w:sz w:val="24"/>
          <w:szCs w:val="24"/>
        </w:rPr>
        <w:t>pada ikan nila (</w:t>
      </w:r>
      <w:r w:rsidR="00B258B1" w:rsidRPr="00173249">
        <w:rPr>
          <w:rFonts w:ascii="Times New Roman" w:hAnsi="Times New Roman"/>
          <w:b/>
          <w:bCs/>
          <w:i/>
          <w:iCs/>
          <w:sz w:val="24"/>
          <w:szCs w:val="24"/>
        </w:rPr>
        <w:t>Orechromis niloticus</w:t>
      </w:r>
      <w:r w:rsidR="00B258B1" w:rsidRPr="00173249">
        <w:rPr>
          <w:rFonts w:ascii="Times New Roman" w:hAnsi="Times New Roman"/>
          <w:b/>
          <w:bCs/>
          <w:sz w:val="24"/>
          <w:szCs w:val="24"/>
        </w:rPr>
        <w:t>)</w:t>
      </w:r>
    </w:p>
    <w:p w14:paraId="379FD2B4" w14:textId="77777777" w:rsidR="00D14382" w:rsidRPr="00D14382" w:rsidRDefault="00D14382" w:rsidP="000004FB">
      <w:pPr>
        <w:spacing w:after="0" w:line="240" w:lineRule="auto"/>
        <w:jc w:val="center"/>
        <w:rPr>
          <w:rFonts w:ascii="Times New Roman" w:hAnsi="Times New Roman"/>
          <w:sz w:val="24"/>
          <w:szCs w:val="24"/>
        </w:rPr>
      </w:pPr>
    </w:p>
    <w:p w14:paraId="23274F0A" w14:textId="2DDAF61F" w:rsidR="00D14382" w:rsidRDefault="00C76DE0" w:rsidP="000004FB">
      <w:pPr>
        <w:pStyle w:val="ListParagraph"/>
        <w:spacing w:after="0" w:line="240" w:lineRule="auto"/>
        <w:ind w:left="56"/>
        <w:jc w:val="center"/>
        <w:rPr>
          <w:rFonts w:ascii="Times New Roman" w:hAnsi="Times New Roman"/>
          <w:sz w:val="24"/>
          <w:szCs w:val="24"/>
        </w:rPr>
      </w:pPr>
      <w:r w:rsidRPr="00D14382">
        <w:rPr>
          <w:rFonts w:ascii="Times New Roman" w:hAnsi="Times New Roman"/>
          <w:sz w:val="24"/>
          <w:szCs w:val="24"/>
        </w:rPr>
        <w:t>Nunak Nafiqoh</w:t>
      </w:r>
      <w:r w:rsidR="000004FB">
        <w:rPr>
          <w:rFonts w:ascii="Times New Roman" w:hAnsi="Times New Roman"/>
          <w:sz w:val="24"/>
          <w:szCs w:val="24"/>
          <w:vertAlign w:val="superscript"/>
          <w:lang w:val="en-GB"/>
        </w:rPr>
        <w:t>*)</w:t>
      </w:r>
      <w:r w:rsidRPr="00D14382">
        <w:rPr>
          <w:rFonts w:ascii="Times New Roman" w:hAnsi="Times New Roman"/>
          <w:sz w:val="24"/>
          <w:szCs w:val="24"/>
        </w:rPr>
        <w:t xml:space="preserve">, </w:t>
      </w:r>
      <w:r w:rsidR="00D14382" w:rsidRPr="00D14382">
        <w:rPr>
          <w:rFonts w:ascii="Times New Roman" w:hAnsi="Times New Roman"/>
          <w:sz w:val="24"/>
          <w:szCs w:val="24"/>
        </w:rPr>
        <w:t>Septyan Andriyanto</w:t>
      </w:r>
      <w:r w:rsidR="00D14382" w:rsidRPr="00D14382">
        <w:rPr>
          <w:rFonts w:ascii="Times New Roman" w:hAnsi="Times New Roman"/>
          <w:sz w:val="24"/>
          <w:szCs w:val="24"/>
          <w:lang w:val="en-GB"/>
        </w:rPr>
        <w:t xml:space="preserve">, </w:t>
      </w:r>
      <w:r w:rsidR="00D14382" w:rsidRPr="00D14382">
        <w:rPr>
          <w:rFonts w:ascii="Times New Roman" w:hAnsi="Times New Roman"/>
          <w:sz w:val="24"/>
          <w:szCs w:val="24"/>
        </w:rPr>
        <w:t>Hessy Novita</w:t>
      </w:r>
      <w:r w:rsidR="00D14382" w:rsidRPr="00D14382">
        <w:rPr>
          <w:rFonts w:ascii="Times New Roman" w:hAnsi="Times New Roman"/>
          <w:sz w:val="24"/>
          <w:szCs w:val="24"/>
          <w:lang w:val="en-GB"/>
        </w:rPr>
        <w:t xml:space="preserve">, </w:t>
      </w:r>
      <w:r w:rsidR="00D14382" w:rsidRPr="00D14382">
        <w:rPr>
          <w:rFonts w:ascii="Times New Roman" w:hAnsi="Times New Roman"/>
          <w:sz w:val="24"/>
          <w:szCs w:val="24"/>
        </w:rPr>
        <w:t>Desy Sugiani</w:t>
      </w:r>
      <w:r w:rsidR="00D14382" w:rsidRPr="00D14382">
        <w:rPr>
          <w:rFonts w:ascii="Times New Roman" w:hAnsi="Times New Roman"/>
          <w:sz w:val="24"/>
          <w:szCs w:val="24"/>
          <w:lang w:val="en-GB"/>
        </w:rPr>
        <w:t xml:space="preserve">, </w:t>
      </w:r>
      <w:r w:rsidR="00D14382" w:rsidRPr="00D14382">
        <w:rPr>
          <w:rFonts w:ascii="Times New Roman" w:hAnsi="Times New Roman"/>
          <w:sz w:val="24"/>
          <w:szCs w:val="24"/>
        </w:rPr>
        <w:t>Taukhid</w:t>
      </w:r>
    </w:p>
    <w:p w14:paraId="46F1A9E4" w14:textId="77777777" w:rsidR="000004FB" w:rsidRDefault="000004FB" w:rsidP="000004FB">
      <w:pPr>
        <w:pStyle w:val="ListParagraph"/>
        <w:spacing w:after="0" w:line="240" w:lineRule="auto"/>
        <w:ind w:left="56"/>
        <w:jc w:val="center"/>
        <w:rPr>
          <w:rFonts w:ascii="Times New Roman" w:hAnsi="Times New Roman"/>
          <w:sz w:val="24"/>
          <w:szCs w:val="24"/>
        </w:rPr>
      </w:pPr>
    </w:p>
    <w:p w14:paraId="527B96AD" w14:textId="400F5F7A" w:rsidR="00D14382" w:rsidRDefault="00D14382" w:rsidP="000004FB">
      <w:pPr>
        <w:pStyle w:val="ListParagraph"/>
        <w:spacing w:after="0" w:line="240" w:lineRule="auto"/>
        <w:ind w:left="56"/>
        <w:jc w:val="center"/>
        <w:rPr>
          <w:rFonts w:ascii="Times New Roman" w:hAnsi="Times New Roman"/>
          <w:i/>
          <w:iCs/>
          <w:sz w:val="24"/>
          <w:szCs w:val="24"/>
          <w:lang w:val="en-GB"/>
        </w:rPr>
      </w:pPr>
      <w:r w:rsidRPr="000004FB">
        <w:rPr>
          <w:rFonts w:ascii="Times New Roman" w:hAnsi="Times New Roman"/>
          <w:i/>
          <w:iCs/>
          <w:sz w:val="24"/>
          <w:szCs w:val="24"/>
          <w:lang w:val="en-GB"/>
        </w:rPr>
        <w:t>Balai Riset Perikanan Budidaya Air Tawar dan Penyuluhan Perikanan</w:t>
      </w:r>
    </w:p>
    <w:p w14:paraId="28CEA862" w14:textId="77777777" w:rsidR="000004FB" w:rsidRPr="000004FB" w:rsidRDefault="000004FB" w:rsidP="000004FB">
      <w:pPr>
        <w:pStyle w:val="ListParagraph"/>
        <w:spacing w:after="0" w:line="240" w:lineRule="auto"/>
        <w:ind w:left="56"/>
        <w:jc w:val="center"/>
        <w:rPr>
          <w:rFonts w:ascii="Times New Roman" w:hAnsi="Times New Roman"/>
          <w:i/>
          <w:iCs/>
          <w:sz w:val="24"/>
          <w:szCs w:val="24"/>
          <w:lang w:val="en-GB"/>
        </w:rPr>
      </w:pPr>
    </w:p>
    <w:p w14:paraId="703B2D1E" w14:textId="234229C9" w:rsidR="00D14382" w:rsidRPr="00D14382" w:rsidRDefault="000004FB" w:rsidP="000004FB">
      <w:pPr>
        <w:pStyle w:val="ListParagraph"/>
        <w:spacing w:after="0" w:line="240" w:lineRule="auto"/>
        <w:ind w:left="56"/>
        <w:jc w:val="center"/>
        <w:rPr>
          <w:rFonts w:ascii="Times New Roman" w:hAnsi="Times New Roman"/>
          <w:sz w:val="24"/>
          <w:szCs w:val="24"/>
          <w:lang w:val="en-GB"/>
        </w:rPr>
      </w:pPr>
      <w:r>
        <w:rPr>
          <w:rFonts w:ascii="Times New Roman" w:hAnsi="Times New Roman"/>
          <w:sz w:val="24"/>
          <w:szCs w:val="24"/>
          <w:vertAlign w:val="superscript"/>
          <w:lang w:val="en-GB"/>
        </w:rPr>
        <w:t>*)</w:t>
      </w:r>
      <w:r w:rsidR="00D14382">
        <w:rPr>
          <w:rFonts w:ascii="Times New Roman" w:hAnsi="Times New Roman"/>
          <w:sz w:val="24"/>
          <w:szCs w:val="24"/>
          <w:lang w:val="en-GB"/>
        </w:rPr>
        <w:t>nunak.nafiqoh@kkp.go.id</w:t>
      </w:r>
    </w:p>
    <w:p w14:paraId="0E604FEF" w14:textId="360FF9D1" w:rsidR="00B258B1" w:rsidRPr="000004FB" w:rsidRDefault="00C808D9" w:rsidP="000004FB">
      <w:pPr>
        <w:spacing w:after="0" w:line="240" w:lineRule="auto"/>
        <w:jc w:val="both"/>
        <w:rPr>
          <w:rFonts w:ascii="Times New Roman" w:hAnsi="Times New Roman"/>
          <w:b/>
          <w:bCs/>
          <w:sz w:val="24"/>
          <w:szCs w:val="24"/>
        </w:rPr>
      </w:pPr>
      <w:r w:rsidRPr="000004FB">
        <w:rPr>
          <w:rFonts w:ascii="Times New Roman" w:hAnsi="Times New Roman"/>
          <w:b/>
          <w:bCs/>
          <w:sz w:val="24"/>
          <w:szCs w:val="24"/>
        </w:rPr>
        <w:t>Abstrak</w:t>
      </w:r>
    </w:p>
    <w:p w14:paraId="1FE747F0" w14:textId="3FF0E913" w:rsidR="00C808D9" w:rsidRPr="00D14382" w:rsidRDefault="00C808D9" w:rsidP="000004FB">
      <w:pPr>
        <w:spacing w:after="0" w:line="240" w:lineRule="auto"/>
        <w:jc w:val="both"/>
        <w:rPr>
          <w:rFonts w:ascii="Times New Roman" w:hAnsi="Times New Roman"/>
          <w:sz w:val="24"/>
          <w:szCs w:val="24"/>
        </w:rPr>
      </w:pPr>
      <w:r w:rsidRPr="00D14382">
        <w:rPr>
          <w:rFonts w:ascii="Times New Roman" w:hAnsi="Times New Roman"/>
          <w:sz w:val="24"/>
          <w:szCs w:val="24"/>
        </w:rPr>
        <w:t xml:space="preserve">Ikan nila merupakan ikan air tawar yang banyak dikonsumsi hampir diseluruh dunia. Serangan penyakit yang paling banyak ditemui </w:t>
      </w:r>
      <w:r w:rsidR="00D4005A">
        <w:rPr>
          <w:rFonts w:ascii="Times New Roman" w:hAnsi="Times New Roman"/>
          <w:sz w:val="24"/>
          <w:szCs w:val="24"/>
        </w:rPr>
        <w:t xml:space="preserve">menyerang </w:t>
      </w:r>
      <w:r w:rsidR="003B1622">
        <w:rPr>
          <w:rFonts w:ascii="Times New Roman" w:hAnsi="Times New Roman"/>
          <w:sz w:val="24"/>
          <w:szCs w:val="24"/>
        </w:rPr>
        <w:t xml:space="preserve">kegiatan budidaya </w:t>
      </w:r>
      <w:r w:rsidR="00D4005A">
        <w:rPr>
          <w:rFonts w:ascii="Times New Roman" w:hAnsi="Times New Roman"/>
          <w:sz w:val="24"/>
          <w:szCs w:val="24"/>
        </w:rPr>
        <w:t xml:space="preserve">ikan nila </w:t>
      </w:r>
      <w:r w:rsidRPr="00D14382">
        <w:rPr>
          <w:rFonts w:ascii="Times New Roman" w:hAnsi="Times New Roman"/>
          <w:sz w:val="24"/>
          <w:szCs w:val="24"/>
        </w:rPr>
        <w:t xml:space="preserve">adalah bakteri </w:t>
      </w:r>
      <w:r w:rsidRPr="00D14382">
        <w:rPr>
          <w:rFonts w:ascii="Times New Roman" w:hAnsi="Times New Roman"/>
          <w:i/>
          <w:iCs/>
          <w:sz w:val="24"/>
          <w:szCs w:val="24"/>
        </w:rPr>
        <w:t>Streptococcus agalactiae</w:t>
      </w:r>
      <w:r w:rsidR="00D4005A">
        <w:rPr>
          <w:rFonts w:ascii="Times New Roman" w:hAnsi="Times New Roman"/>
          <w:i/>
          <w:iCs/>
          <w:sz w:val="24"/>
          <w:szCs w:val="24"/>
        </w:rPr>
        <w:t xml:space="preserve"> </w:t>
      </w:r>
      <w:r w:rsidR="00D4005A">
        <w:rPr>
          <w:rFonts w:ascii="Times New Roman" w:hAnsi="Times New Roman"/>
          <w:sz w:val="24"/>
          <w:szCs w:val="24"/>
        </w:rPr>
        <w:t xml:space="preserve">sebagai agen penyakit </w:t>
      </w:r>
      <w:r w:rsidR="00D4005A">
        <w:rPr>
          <w:rFonts w:ascii="Times New Roman" w:hAnsi="Times New Roman"/>
          <w:i/>
          <w:iCs/>
          <w:sz w:val="24"/>
          <w:szCs w:val="24"/>
        </w:rPr>
        <w:t>Streptococcosis</w:t>
      </w:r>
      <w:r w:rsidRPr="00D14382">
        <w:rPr>
          <w:rFonts w:ascii="Times New Roman" w:hAnsi="Times New Roman"/>
          <w:i/>
          <w:iCs/>
          <w:sz w:val="24"/>
          <w:szCs w:val="24"/>
        </w:rPr>
        <w:t xml:space="preserve">. </w:t>
      </w:r>
      <w:r w:rsidR="009A2E41">
        <w:rPr>
          <w:rFonts w:ascii="Times New Roman" w:hAnsi="Times New Roman"/>
          <w:sz w:val="24"/>
          <w:szCs w:val="24"/>
        </w:rPr>
        <w:t xml:space="preserve">Peningkatan sistem imun dari ikan yang dibudidayakan merupakan cara yang efektif </w:t>
      </w:r>
      <w:r w:rsidR="003B1622">
        <w:rPr>
          <w:rFonts w:ascii="Times New Roman" w:hAnsi="Times New Roman"/>
          <w:sz w:val="24"/>
          <w:szCs w:val="24"/>
        </w:rPr>
        <w:t>untuk menanggulangi masalah tersebut.</w:t>
      </w:r>
      <w:r w:rsidR="009A2E41">
        <w:rPr>
          <w:rFonts w:ascii="Times New Roman" w:hAnsi="Times New Roman"/>
          <w:sz w:val="24"/>
          <w:szCs w:val="24"/>
        </w:rPr>
        <w:t xml:space="preserve"> Salah satu</w:t>
      </w:r>
      <w:r w:rsidR="003B1622">
        <w:rPr>
          <w:rFonts w:ascii="Times New Roman" w:hAnsi="Times New Roman"/>
          <w:sz w:val="24"/>
          <w:szCs w:val="24"/>
        </w:rPr>
        <w:t xml:space="preserve"> </w:t>
      </w:r>
      <w:r w:rsidR="009A2E41">
        <w:rPr>
          <w:rFonts w:ascii="Times New Roman" w:hAnsi="Times New Roman"/>
          <w:sz w:val="24"/>
          <w:szCs w:val="24"/>
        </w:rPr>
        <w:t>f</w:t>
      </w:r>
      <w:r w:rsidR="000405F2">
        <w:rPr>
          <w:rFonts w:ascii="Times New Roman" w:hAnsi="Times New Roman"/>
          <w:sz w:val="24"/>
          <w:szCs w:val="24"/>
        </w:rPr>
        <w:t>ungsi tan</w:t>
      </w:r>
      <w:r w:rsidR="00C61D39">
        <w:rPr>
          <w:rFonts w:ascii="Times New Roman" w:hAnsi="Times New Roman"/>
          <w:sz w:val="24"/>
          <w:szCs w:val="24"/>
        </w:rPr>
        <w:t>a</w:t>
      </w:r>
      <w:r w:rsidR="000405F2">
        <w:rPr>
          <w:rFonts w:ascii="Times New Roman" w:hAnsi="Times New Roman"/>
          <w:sz w:val="24"/>
          <w:szCs w:val="24"/>
        </w:rPr>
        <w:t xml:space="preserve">man obat adalah sebagai </w:t>
      </w:r>
      <w:r w:rsidRPr="00D14382">
        <w:rPr>
          <w:rFonts w:ascii="Times New Roman" w:hAnsi="Times New Roman"/>
          <w:sz w:val="24"/>
          <w:szCs w:val="24"/>
        </w:rPr>
        <w:t>imnostimulan</w:t>
      </w:r>
      <w:r w:rsidR="000405F2">
        <w:rPr>
          <w:rFonts w:ascii="Times New Roman" w:hAnsi="Times New Roman"/>
          <w:sz w:val="24"/>
          <w:szCs w:val="24"/>
        </w:rPr>
        <w:t>, dimana sistem imun akan meningkat terutama saat mengalami wabah penyakit ikan</w:t>
      </w:r>
      <w:r w:rsidRPr="00D14382">
        <w:rPr>
          <w:rFonts w:ascii="Times New Roman" w:hAnsi="Times New Roman"/>
          <w:sz w:val="24"/>
          <w:szCs w:val="24"/>
        </w:rPr>
        <w:t xml:space="preserve">. </w:t>
      </w:r>
      <w:r w:rsidR="00526B50">
        <w:rPr>
          <w:rFonts w:ascii="Times New Roman" w:hAnsi="Times New Roman"/>
          <w:sz w:val="24"/>
          <w:szCs w:val="24"/>
        </w:rPr>
        <w:t>P</w:t>
      </w:r>
      <w:r w:rsidRPr="00D14382">
        <w:rPr>
          <w:rFonts w:ascii="Times New Roman" w:hAnsi="Times New Roman"/>
          <w:sz w:val="24"/>
          <w:szCs w:val="24"/>
        </w:rPr>
        <w:t xml:space="preserve">enelitian ini di </w:t>
      </w:r>
      <w:r w:rsidR="00526B50">
        <w:rPr>
          <w:rFonts w:ascii="Times New Roman" w:hAnsi="Times New Roman"/>
          <w:sz w:val="24"/>
          <w:szCs w:val="24"/>
        </w:rPr>
        <w:t xml:space="preserve">tujukan untuk mengetahui efek dari </w:t>
      </w:r>
      <w:r w:rsidRPr="00D14382">
        <w:rPr>
          <w:rFonts w:ascii="Times New Roman" w:hAnsi="Times New Roman"/>
          <w:sz w:val="24"/>
          <w:szCs w:val="24"/>
        </w:rPr>
        <w:t>kombinasi tanaman sirih dan ki</w:t>
      </w:r>
      <w:r w:rsidR="00384FAF">
        <w:rPr>
          <w:rFonts w:ascii="Times New Roman" w:hAnsi="Times New Roman"/>
          <w:sz w:val="24"/>
          <w:szCs w:val="24"/>
        </w:rPr>
        <w:t>p</w:t>
      </w:r>
      <w:r w:rsidRPr="00D14382">
        <w:rPr>
          <w:rFonts w:ascii="Times New Roman" w:hAnsi="Times New Roman"/>
          <w:sz w:val="24"/>
          <w:szCs w:val="24"/>
        </w:rPr>
        <w:t xml:space="preserve">ahit sebagai imunostimulan untuk ikan nila dalam menghadapi serangan penyakit akibat </w:t>
      </w:r>
      <w:r w:rsidRPr="00D14382">
        <w:rPr>
          <w:rFonts w:ascii="Times New Roman" w:hAnsi="Times New Roman"/>
          <w:i/>
          <w:iCs/>
          <w:sz w:val="24"/>
          <w:szCs w:val="24"/>
        </w:rPr>
        <w:t xml:space="preserve">S. agalactiae. </w:t>
      </w:r>
      <w:r w:rsidRPr="00D14382">
        <w:rPr>
          <w:rFonts w:ascii="Times New Roman" w:hAnsi="Times New Roman"/>
          <w:sz w:val="24"/>
          <w:szCs w:val="24"/>
        </w:rPr>
        <w:t xml:space="preserve">Kombinasi dari kedua tanaman tersebut diberikan dalam 4 dosis berbeda 1, 2, 4, dan 8% per kg pakan Parameter hematologi menunjukkan perbedaan hematokrit dan eritrosit dari kelompok perlakuan dibandingkan kelompok kontrol. Nilai hitung leukosit, NBT dan lisosim menunjukkan tren serupa. Nilai sintasan </w:t>
      </w:r>
      <w:r w:rsidR="00C76DE0" w:rsidRPr="00D14382">
        <w:rPr>
          <w:rFonts w:ascii="Times New Roman" w:hAnsi="Times New Roman"/>
          <w:sz w:val="24"/>
          <w:szCs w:val="24"/>
        </w:rPr>
        <w:t>menunjukkan kelompok perlakuan jauh lebih baik dibandingkan kelompok kontrol.</w:t>
      </w:r>
    </w:p>
    <w:p w14:paraId="06BF79F0" w14:textId="77777777" w:rsidR="00C76DE0" w:rsidRPr="00D14382" w:rsidRDefault="00C76DE0" w:rsidP="000004FB">
      <w:pPr>
        <w:spacing w:after="0" w:line="240" w:lineRule="auto"/>
        <w:jc w:val="both"/>
        <w:rPr>
          <w:rFonts w:ascii="Times New Roman" w:hAnsi="Times New Roman"/>
          <w:sz w:val="24"/>
          <w:szCs w:val="24"/>
        </w:rPr>
      </w:pPr>
    </w:p>
    <w:p w14:paraId="258A051F" w14:textId="582BB55D" w:rsidR="002F4FF0" w:rsidRPr="00D14382" w:rsidRDefault="00C76DE0" w:rsidP="000004FB">
      <w:pPr>
        <w:spacing w:after="0" w:line="240" w:lineRule="auto"/>
        <w:jc w:val="both"/>
        <w:rPr>
          <w:rFonts w:ascii="Times New Roman" w:hAnsi="Times New Roman"/>
          <w:sz w:val="24"/>
          <w:szCs w:val="24"/>
        </w:rPr>
      </w:pPr>
      <w:r w:rsidRPr="00D14382">
        <w:rPr>
          <w:rFonts w:ascii="Times New Roman" w:hAnsi="Times New Roman"/>
          <w:sz w:val="24"/>
          <w:szCs w:val="24"/>
        </w:rPr>
        <w:t>Kata Kunci</w:t>
      </w:r>
      <w:r w:rsidR="00D4005A">
        <w:rPr>
          <w:rFonts w:ascii="Times New Roman" w:hAnsi="Times New Roman"/>
          <w:sz w:val="24"/>
          <w:szCs w:val="24"/>
        </w:rPr>
        <w:t>:</w:t>
      </w:r>
      <w:r w:rsidRPr="00D14382">
        <w:rPr>
          <w:rFonts w:ascii="Times New Roman" w:hAnsi="Times New Roman"/>
          <w:sz w:val="24"/>
          <w:szCs w:val="24"/>
        </w:rPr>
        <w:t xml:space="preserve">  </w:t>
      </w:r>
      <w:r w:rsidR="00D4005A">
        <w:rPr>
          <w:rFonts w:ascii="Times New Roman" w:hAnsi="Times New Roman"/>
          <w:sz w:val="24"/>
          <w:szCs w:val="24"/>
        </w:rPr>
        <w:t>S</w:t>
      </w:r>
      <w:r w:rsidRPr="00D14382">
        <w:rPr>
          <w:rFonts w:ascii="Times New Roman" w:hAnsi="Times New Roman"/>
          <w:sz w:val="24"/>
          <w:szCs w:val="24"/>
        </w:rPr>
        <w:t xml:space="preserve">irih, </w:t>
      </w:r>
      <w:r w:rsidR="00D4005A">
        <w:rPr>
          <w:rFonts w:ascii="Times New Roman" w:hAnsi="Times New Roman"/>
          <w:sz w:val="24"/>
          <w:szCs w:val="24"/>
        </w:rPr>
        <w:t>K</w:t>
      </w:r>
      <w:r w:rsidRPr="00D14382">
        <w:rPr>
          <w:rFonts w:ascii="Times New Roman" w:hAnsi="Times New Roman"/>
          <w:sz w:val="24"/>
          <w:szCs w:val="24"/>
        </w:rPr>
        <w:t xml:space="preserve">ipahit, </w:t>
      </w:r>
      <w:r w:rsidR="00D4005A">
        <w:rPr>
          <w:rFonts w:ascii="Times New Roman" w:hAnsi="Times New Roman"/>
          <w:sz w:val="24"/>
          <w:szCs w:val="24"/>
        </w:rPr>
        <w:t>I</w:t>
      </w:r>
      <w:r w:rsidRPr="00D14382">
        <w:rPr>
          <w:rFonts w:ascii="Times New Roman" w:hAnsi="Times New Roman"/>
          <w:sz w:val="24"/>
          <w:szCs w:val="24"/>
        </w:rPr>
        <w:t xml:space="preserve">munostimulan, </w:t>
      </w:r>
      <w:r w:rsidR="00C61D39" w:rsidRPr="00C61D39">
        <w:rPr>
          <w:rFonts w:ascii="Times New Roman" w:hAnsi="Times New Roman"/>
          <w:i/>
          <w:iCs/>
          <w:sz w:val="24"/>
          <w:szCs w:val="24"/>
        </w:rPr>
        <w:t>Streptococcosis</w:t>
      </w:r>
      <w:r w:rsidRPr="00D14382">
        <w:rPr>
          <w:rFonts w:ascii="Times New Roman" w:hAnsi="Times New Roman"/>
          <w:sz w:val="24"/>
          <w:szCs w:val="24"/>
        </w:rPr>
        <w:t xml:space="preserve">, </w:t>
      </w:r>
      <w:r w:rsidR="00C61D39" w:rsidRPr="00D14382">
        <w:rPr>
          <w:rFonts w:ascii="Times New Roman" w:hAnsi="Times New Roman"/>
          <w:i/>
          <w:iCs/>
          <w:sz w:val="24"/>
          <w:szCs w:val="24"/>
        </w:rPr>
        <w:t>Orechromis niloticus</w:t>
      </w:r>
    </w:p>
    <w:p w14:paraId="39C4E1FF" w14:textId="77777777" w:rsidR="00C05686" w:rsidRDefault="00C05686" w:rsidP="000004FB">
      <w:pPr>
        <w:spacing w:after="0" w:line="240" w:lineRule="auto"/>
        <w:jc w:val="both"/>
        <w:rPr>
          <w:rFonts w:ascii="Times New Roman" w:hAnsi="Times New Roman"/>
          <w:sz w:val="24"/>
          <w:szCs w:val="24"/>
        </w:rPr>
      </w:pPr>
    </w:p>
    <w:p w14:paraId="3AF333A1" w14:textId="3CC0568B" w:rsidR="002F4FF0" w:rsidRPr="000004FB" w:rsidRDefault="002F4FF0" w:rsidP="000004FB">
      <w:pPr>
        <w:spacing w:after="0" w:line="240" w:lineRule="auto"/>
        <w:jc w:val="both"/>
        <w:rPr>
          <w:rFonts w:ascii="Times New Roman" w:hAnsi="Times New Roman"/>
          <w:b/>
          <w:bCs/>
          <w:sz w:val="24"/>
          <w:szCs w:val="24"/>
        </w:rPr>
      </w:pPr>
      <w:r w:rsidRPr="000004FB">
        <w:rPr>
          <w:rFonts w:ascii="Times New Roman" w:hAnsi="Times New Roman"/>
          <w:b/>
          <w:bCs/>
          <w:sz w:val="24"/>
          <w:szCs w:val="24"/>
        </w:rPr>
        <w:t>Abstract</w:t>
      </w:r>
    </w:p>
    <w:p w14:paraId="0FDC86A5" w14:textId="5B67CD4C" w:rsidR="00D34F8C" w:rsidRPr="000004FB" w:rsidRDefault="002F4FF0" w:rsidP="000004FB">
      <w:pPr>
        <w:spacing w:after="0" w:line="240" w:lineRule="auto"/>
        <w:jc w:val="both"/>
        <w:rPr>
          <w:rFonts w:ascii="Times New Roman" w:hAnsi="Times New Roman"/>
          <w:i/>
          <w:iCs/>
          <w:sz w:val="24"/>
          <w:szCs w:val="24"/>
        </w:rPr>
      </w:pPr>
      <w:r w:rsidRPr="000004FB">
        <w:rPr>
          <w:rFonts w:ascii="Times New Roman" w:hAnsi="Times New Roman"/>
          <w:i/>
          <w:iCs/>
          <w:sz w:val="24"/>
          <w:szCs w:val="24"/>
        </w:rPr>
        <w:t xml:space="preserve">Tilapia is a freshwater fish that </w:t>
      </w:r>
      <w:r w:rsidR="00D4005A" w:rsidRPr="000004FB">
        <w:rPr>
          <w:rFonts w:ascii="Times New Roman" w:hAnsi="Times New Roman"/>
          <w:i/>
          <w:iCs/>
          <w:sz w:val="24"/>
          <w:szCs w:val="24"/>
        </w:rPr>
        <w:t xml:space="preserve">widely consumed in </w:t>
      </w:r>
      <w:r w:rsidRPr="000004FB">
        <w:rPr>
          <w:rFonts w:ascii="Times New Roman" w:hAnsi="Times New Roman"/>
          <w:i/>
          <w:iCs/>
          <w:sz w:val="24"/>
          <w:szCs w:val="24"/>
        </w:rPr>
        <w:t xml:space="preserve">all over the world. </w:t>
      </w:r>
      <w:r w:rsidR="00D34F8C" w:rsidRPr="000004FB">
        <w:rPr>
          <w:rFonts w:ascii="Times New Roman" w:hAnsi="Times New Roman"/>
          <w:i/>
          <w:iCs/>
          <w:sz w:val="24"/>
          <w:szCs w:val="24"/>
        </w:rPr>
        <w:t xml:space="preserve">Streptococcus agalactiae is the one of </w:t>
      </w:r>
      <w:r w:rsidRPr="000004FB">
        <w:rPr>
          <w:rFonts w:ascii="Times New Roman" w:hAnsi="Times New Roman"/>
          <w:i/>
          <w:iCs/>
          <w:sz w:val="24"/>
          <w:szCs w:val="24"/>
        </w:rPr>
        <w:t xml:space="preserve">most common </w:t>
      </w:r>
      <w:r w:rsidR="00D34F8C" w:rsidRPr="000004FB">
        <w:rPr>
          <w:rFonts w:ascii="Times New Roman" w:hAnsi="Times New Roman"/>
          <w:i/>
          <w:iCs/>
          <w:sz w:val="24"/>
          <w:szCs w:val="24"/>
        </w:rPr>
        <w:t>bacteria within freshwater, it causes a Streptococcosis d</w:t>
      </w:r>
      <w:r w:rsidRPr="000004FB">
        <w:rPr>
          <w:rFonts w:ascii="Times New Roman" w:hAnsi="Times New Roman"/>
          <w:i/>
          <w:iCs/>
          <w:sz w:val="24"/>
          <w:szCs w:val="24"/>
        </w:rPr>
        <w:t xml:space="preserve">isease </w:t>
      </w:r>
      <w:r w:rsidR="00D34F8C" w:rsidRPr="000004FB">
        <w:rPr>
          <w:rFonts w:ascii="Times New Roman" w:hAnsi="Times New Roman"/>
          <w:i/>
          <w:iCs/>
          <w:sz w:val="24"/>
          <w:szCs w:val="24"/>
        </w:rPr>
        <w:t xml:space="preserve">in tilapia culture. One of medicinal plants property is as an imnostimulant, especially when experiencing outbreaks of fish disease. This research is aimed to find out the effect of the combination of betel and kipahit plants as immunostimulants for tilapia </w:t>
      </w:r>
      <w:r w:rsidR="00C05686" w:rsidRPr="000004FB">
        <w:rPr>
          <w:rFonts w:ascii="Times New Roman" w:hAnsi="Times New Roman"/>
          <w:i/>
          <w:iCs/>
          <w:sz w:val="24"/>
          <w:szCs w:val="24"/>
        </w:rPr>
        <w:t xml:space="preserve">to conquers </w:t>
      </w:r>
      <w:r w:rsidR="00D34F8C" w:rsidRPr="000004FB">
        <w:rPr>
          <w:rFonts w:ascii="Times New Roman" w:hAnsi="Times New Roman"/>
          <w:i/>
          <w:iCs/>
          <w:sz w:val="24"/>
          <w:szCs w:val="24"/>
        </w:rPr>
        <w:t>S. agalactiae</w:t>
      </w:r>
      <w:r w:rsidR="00C05686" w:rsidRPr="000004FB">
        <w:rPr>
          <w:rFonts w:ascii="Times New Roman" w:hAnsi="Times New Roman"/>
          <w:i/>
          <w:iCs/>
          <w:sz w:val="24"/>
          <w:szCs w:val="24"/>
        </w:rPr>
        <w:t xml:space="preserve"> outbreaks</w:t>
      </w:r>
      <w:r w:rsidR="00D34F8C" w:rsidRPr="000004FB">
        <w:rPr>
          <w:rFonts w:ascii="Times New Roman" w:hAnsi="Times New Roman"/>
          <w:i/>
          <w:iCs/>
          <w:sz w:val="24"/>
          <w:szCs w:val="24"/>
        </w:rPr>
        <w:t>. The combination of the two plants was given in 4 different doses of 1, 2, 4, and 8% per kg of feed. Hematological parameters showed differences in hematocrit and erythrocytes in the treatment group compared to the control group. Leukocyte, NBT and lysozyme count values ​​show a similar trend. The survival value indicates the treatment group was better than the control group</w:t>
      </w:r>
      <w:r w:rsidR="00C05686" w:rsidRPr="000004FB">
        <w:rPr>
          <w:rFonts w:ascii="Times New Roman" w:hAnsi="Times New Roman"/>
          <w:i/>
          <w:iCs/>
          <w:sz w:val="24"/>
          <w:szCs w:val="24"/>
        </w:rPr>
        <w:t>.</w:t>
      </w:r>
    </w:p>
    <w:p w14:paraId="391EC0B5" w14:textId="77777777" w:rsidR="000004FB" w:rsidRDefault="000004FB" w:rsidP="000004FB">
      <w:pPr>
        <w:spacing w:after="0" w:line="240" w:lineRule="auto"/>
        <w:jc w:val="both"/>
        <w:rPr>
          <w:rFonts w:ascii="Times New Roman" w:hAnsi="Times New Roman"/>
          <w:sz w:val="24"/>
          <w:szCs w:val="24"/>
        </w:rPr>
      </w:pPr>
    </w:p>
    <w:p w14:paraId="678DD788" w14:textId="4895E27D" w:rsidR="00C05686" w:rsidRPr="00D14382" w:rsidRDefault="00C05686" w:rsidP="000004FB">
      <w:pPr>
        <w:spacing w:after="0" w:line="240" w:lineRule="auto"/>
        <w:jc w:val="both"/>
        <w:rPr>
          <w:rFonts w:ascii="Times New Roman" w:hAnsi="Times New Roman"/>
          <w:sz w:val="24"/>
          <w:szCs w:val="24"/>
        </w:rPr>
      </w:pPr>
      <w:r>
        <w:rPr>
          <w:rFonts w:ascii="Times New Roman" w:hAnsi="Times New Roman"/>
          <w:sz w:val="24"/>
          <w:szCs w:val="24"/>
        </w:rPr>
        <w:t>Keyword:</w:t>
      </w:r>
      <w:r w:rsidRPr="00D14382">
        <w:rPr>
          <w:rFonts w:ascii="Times New Roman" w:hAnsi="Times New Roman"/>
          <w:sz w:val="24"/>
          <w:szCs w:val="24"/>
        </w:rPr>
        <w:t xml:space="preserve">  </w:t>
      </w:r>
      <w:r>
        <w:rPr>
          <w:rFonts w:ascii="Times New Roman" w:hAnsi="Times New Roman"/>
          <w:sz w:val="24"/>
          <w:szCs w:val="24"/>
        </w:rPr>
        <w:t>Betel, K</w:t>
      </w:r>
      <w:r w:rsidRPr="00D14382">
        <w:rPr>
          <w:rFonts w:ascii="Times New Roman" w:hAnsi="Times New Roman"/>
          <w:sz w:val="24"/>
          <w:szCs w:val="24"/>
        </w:rPr>
        <w:t xml:space="preserve">ipahit, </w:t>
      </w:r>
      <w:r>
        <w:rPr>
          <w:rFonts w:ascii="Times New Roman" w:hAnsi="Times New Roman"/>
          <w:sz w:val="24"/>
          <w:szCs w:val="24"/>
        </w:rPr>
        <w:t>I</w:t>
      </w:r>
      <w:r w:rsidRPr="00D14382">
        <w:rPr>
          <w:rFonts w:ascii="Times New Roman" w:hAnsi="Times New Roman"/>
          <w:sz w:val="24"/>
          <w:szCs w:val="24"/>
        </w:rPr>
        <w:t xml:space="preserve">munostimulan, </w:t>
      </w:r>
      <w:r w:rsidRPr="00C61D39">
        <w:rPr>
          <w:rFonts w:ascii="Times New Roman" w:hAnsi="Times New Roman"/>
          <w:i/>
          <w:iCs/>
          <w:sz w:val="24"/>
          <w:szCs w:val="24"/>
        </w:rPr>
        <w:t>Streptococcosis</w:t>
      </w:r>
      <w:r w:rsidRPr="00D14382">
        <w:rPr>
          <w:rFonts w:ascii="Times New Roman" w:hAnsi="Times New Roman"/>
          <w:sz w:val="24"/>
          <w:szCs w:val="24"/>
        </w:rPr>
        <w:t xml:space="preserve">, </w:t>
      </w:r>
      <w:r w:rsidRPr="00D14382">
        <w:rPr>
          <w:rFonts w:ascii="Times New Roman" w:hAnsi="Times New Roman"/>
          <w:i/>
          <w:iCs/>
          <w:sz w:val="24"/>
          <w:szCs w:val="24"/>
        </w:rPr>
        <w:t>Orechromis niloticus</w:t>
      </w:r>
    </w:p>
    <w:p w14:paraId="383BC1FD" w14:textId="77777777" w:rsidR="00C05686" w:rsidRDefault="00C05686" w:rsidP="00BB20AA">
      <w:pPr>
        <w:spacing w:after="0" w:line="360" w:lineRule="auto"/>
        <w:jc w:val="both"/>
        <w:rPr>
          <w:rFonts w:ascii="Times New Roman" w:hAnsi="Times New Roman"/>
          <w:sz w:val="24"/>
          <w:szCs w:val="24"/>
        </w:rPr>
      </w:pPr>
    </w:p>
    <w:p w14:paraId="6BA90F0E" w14:textId="77777777" w:rsidR="00C8678B" w:rsidRPr="00D14382" w:rsidRDefault="00C8678B" w:rsidP="000004FB">
      <w:pPr>
        <w:spacing w:after="0" w:line="480" w:lineRule="auto"/>
        <w:jc w:val="both"/>
        <w:rPr>
          <w:rFonts w:ascii="Times New Roman" w:hAnsi="Times New Roman"/>
          <w:sz w:val="24"/>
          <w:szCs w:val="24"/>
        </w:rPr>
      </w:pPr>
      <w:r w:rsidRPr="00D14382">
        <w:rPr>
          <w:rFonts w:ascii="Times New Roman" w:hAnsi="Times New Roman"/>
          <w:sz w:val="24"/>
          <w:szCs w:val="24"/>
        </w:rPr>
        <w:t>Pendahuluan</w:t>
      </w:r>
    </w:p>
    <w:p w14:paraId="4FB379B5" w14:textId="77777777" w:rsidR="00A61B66" w:rsidRPr="00D14382" w:rsidRDefault="00C8678B" w:rsidP="000004FB">
      <w:pPr>
        <w:spacing w:after="0" w:line="480" w:lineRule="auto"/>
        <w:ind w:firstLine="567"/>
        <w:jc w:val="both"/>
        <w:rPr>
          <w:rFonts w:ascii="Times New Roman" w:hAnsi="Times New Roman"/>
          <w:sz w:val="24"/>
          <w:szCs w:val="24"/>
        </w:rPr>
      </w:pPr>
      <w:r w:rsidRPr="00D14382">
        <w:rPr>
          <w:rFonts w:ascii="Times New Roman" w:hAnsi="Times New Roman"/>
          <w:sz w:val="24"/>
          <w:szCs w:val="24"/>
        </w:rPr>
        <w:t xml:space="preserve">Aktifitas perikanan budidaya dewasa ini menjadi </w:t>
      </w:r>
      <w:r w:rsidR="00700A0E" w:rsidRPr="00D14382">
        <w:rPr>
          <w:rFonts w:ascii="Times New Roman" w:hAnsi="Times New Roman"/>
          <w:sz w:val="24"/>
          <w:szCs w:val="24"/>
        </w:rPr>
        <w:t>industr</w:t>
      </w:r>
      <w:r w:rsidR="00BB20AA" w:rsidRPr="00D14382">
        <w:rPr>
          <w:rFonts w:ascii="Times New Roman" w:hAnsi="Times New Roman"/>
          <w:sz w:val="24"/>
          <w:szCs w:val="24"/>
        </w:rPr>
        <w:t>i</w:t>
      </w:r>
      <w:r w:rsidR="00700A0E" w:rsidRPr="00D14382">
        <w:rPr>
          <w:rFonts w:ascii="Times New Roman" w:hAnsi="Times New Roman"/>
          <w:sz w:val="24"/>
          <w:szCs w:val="24"/>
        </w:rPr>
        <w:t xml:space="preserve"> yang cukup menjanjikan</w:t>
      </w:r>
      <w:r w:rsidR="00BB20AA" w:rsidRPr="00D14382">
        <w:rPr>
          <w:rFonts w:ascii="Times New Roman" w:hAnsi="Times New Roman"/>
          <w:sz w:val="24"/>
          <w:szCs w:val="24"/>
        </w:rPr>
        <w:t>,</w:t>
      </w:r>
      <w:r w:rsidR="006E5C65" w:rsidRPr="00D14382">
        <w:rPr>
          <w:rFonts w:ascii="Times New Roman" w:hAnsi="Times New Roman"/>
          <w:sz w:val="24"/>
          <w:szCs w:val="24"/>
        </w:rPr>
        <w:t xml:space="preserve"> hal ini disebabkan karena</w:t>
      </w:r>
      <w:r w:rsidR="00BB20AA" w:rsidRPr="00D14382">
        <w:rPr>
          <w:rFonts w:ascii="Times New Roman" w:hAnsi="Times New Roman"/>
          <w:sz w:val="24"/>
          <w:szCs w:val="24"/>
        </w:rPr>
        <w:t xml:space="preserve"> </w:t>
      </w:r>
      <w:r w:rsidR="006E5C65" w:rsidRPr="00D14382">
        <w:rPr>
          <w:rFonts w:ascii="Times New Roman" w:hAnsi="Times New Roman"/>
          <w:sz w:val="24"/>
          <w:szCs w:val="24"/>
        </w:rPr>
        <w:t xml:space="preserve">produk budidaya </w:t>
      </w:r>
      <w:r w:rsidR="003F59CB" w:rsidRPr="00D14382">
        <w:rPr>
          <w:rFonts w:ascii="Times New Roman" w:hAnsi="Times New Roman"/>
          <w:sz w:val="24"/>
          <w:szCs w:val="24"/>
        </w:rPr>
        <w:t xml:space="preserve">telah </w:t>
      </w:r>
      <w:r w:rsidR="006E5C65" w:rsidRPr="00D14382">
        <w:rPr>
          <w:rFonts w:ascii="Times New Roman" w:hAnsi="Times New Roman"/>
          <w:sz w:val="24"/>
          <w:szCs w:val="24"/>
        </w:rPr>
        <w:t xml:space="preserve">memenuhi </w:t>
      </w:r>
      <w:r w:rsidR="001D701D" w:rsidRPr="00D14382">
        <w:rPr>
          <w:rFonts w:ascii="Times New Roman" w:hAnsi="Times New Roman"/>
          <w:sz w:val="24"/>
          <w:szCs w:val="24"/>
        </w:rPr>
        <w:lastRenderedPageBreak/>
        <w:t xml:space="preserve">kebutuhan </w:t>
      </w:r>
      <w:r w:rsidR="00FF7CFA" w:rsidRPr="00D14382">
        <w:rPr>
          <w:rFonts w:ascii="Times New Roman" w:hAnsi="Times New Roman"/>
          <w:sz w:val="24"/>
          <w:szCs w:val="24"/>
        </w:rPr>
        <w:t xml:space="preserve">bahan pangan </w:t>
      </w:r>
      <w:r w:rsidR="006E5C65" w:rsidRPr="00D14382">
        <w:rPr>
          <w:rFonts w:ascii="Times New Roman" w:hAnsi="Times New Roman"/>
          <w:sz w:val="24"/>
          <w:szCs w:val="24"/>
        </w:rPr>
        <w:t xml:space="preserve">berupa ikan segar. </w:t>
      </w:r>
      <w:r w:rsidR="003F59CB" w:rsidRPr="00D14382">
        <w:rPr>
          <w:rFonts w:ascii="Times New Roman" w:hAnsi="Times New Roman"/>
          <w:sz w:val="24"/>
          <w:szCs w:val="24"/>
        </w:rPr>
        <w:t xml:space="preserve">Hal tersebut </w:t>
      </w:r>
      <w:r w:rsidR="00972AEE" w:rsidRPr="00D14382">
        <w:rPr>
          <w:rFonts w:ascii="Times New Roman" w:hAnsi="Times New Roman"/>
          <w:sz w:val="24"/>
          <w:szCs w:val="24"/>
        </w:rPr>
        <w:t xml:space="preserve">memicu </w:t>
      </w:r>
      <w:r w:rsidR="001D701D" w:rsidRPr="00D14382">
        <w:rPr>
          <w:rFonts w:ascii="Times New Roman" w:hAnsi="Times New Roman"/>
          <w:sz w:val="24"/>
          <w:szCs w:val="24"/>
        </w:rPr>
        <w:t>terjadi</w:t>
      </w:r>
      <w:r w:rsidR="00972AEE" w:rsidRPr="00D14382">
        <w:rPr>
          <w:rFonts w:ascii="Times New Roman" w:hAnsi="Times New Roman"/>
          <w:sz w:val="24"/>
          <w:szCs w:val="24"/>
        </w:rPr>
        <w:t>nya</w:t>
      </w:r>
      <w:r w:rsidR="001D701D" w:rsidRPr="00D14382">
        <w:rPr>
          <w:rFonts w:ascii="Times New Roman" w:hAnsi="Times New Roman"/>
          <w:sz w:val="24"/>
          <w:szCs w:val="24"/>
        </w:rPr>
        <w:t xml:space="preserve"> i</w:t>
      </w:r>
      <w:r w:rsidR="006E5C65" w:rsidRPr="00D14382">
        <w:rPr>
          <w:rFonts w:ascii="Times New Roman" w:hAnsi="Times New Roman"/>
          <w:sz w:val="24"/>
          <w:szCs w:val="24"/>
        </w:rPr>
        <w:t>ntensifikasi kegiatan budi</w:t>
      </w:r>
      <w:r w:rsidR="00563F32" w:rsidRPr="00D14382">
        <w:rPr>
          <w:rFonts w:ascii="Times New Roman" w:hAnsi="Times New Roman"/>
          <w:sz w:val="24"/>
          <w:szCs w:val="24"/>
        </w:rPr>
        <w:t>d</w:t>
      </w:r>
      <w:r w:rsidR="006E5C65" w:rsidRPr="00D14382">
        <w:rPr>
          <w:rFonts w:ascii="Times New Roman" w:hAnsi="Times New Roman"/>
          <w:sz w:val="24"/>
          <w:szCs w:val="24"/>
        </w:rPr>
        <w:t>aya di Indonesia</w:t>
      </w:r>
      <w:r w:rsidR="00563F32" w:rsidRPr="00D14382">
        <w:rPr>
          <w:rFonts w:ascii="Times New Roman" w:hAnsi="Times New Roman"/>
          <w:sz w:val="24"/>
          <w:szCs w:val="24"/>
        </w:rPr>
        <w:t xml:space="preserve"> dan </w:t>
      </w:r>
      <w:r w:rsidR="00972AEE" w:rsidRPr="00D14382">
        <w:rPr>
          <w:rFonts w:ascii="Times New Roman" w:hAnsi="Times New Roman"/>
          <w:sz w:val="24"/>
          <w:szCs w:val="24"/>
        </w:rPr>
        <w:t xml:space="preserve">juga di negara lainnya. </w:t>
      </w:r>
      <w:r w:rsidR="003F59CB" w:rsidRPr="00D14382">
        <w:rPr>
          <w:rFonts w:ascii="Times New Roman" w:hAnsi="Times New Roman"/>
          <w:sz w:val="24"/>
          <w:szCs w:val="24"/>
        </w:rPr>
        <w:t>Intensifikasi tanpa pengelolaan yang tepat mengakibatkan timbulnya masalah dalam kegiatan budidaya</w:t>
      </w:r>
      <w:r w:rsidR="00DC22A3" w:rsidRPr="00D14382">
        <w:rPr>
          <w:rFonts w:ascii="Times New Roman" w:hAnsi="Times New Roman"/>
          <w:sz w:val="24"/>
          <w:szCs w:val="24"/>
        </w:rPr>
        <w:t>, salah satunya adalah penyakit yang menyerang kegiatan budi</w:t>
      </w:r>
      <w:r w:rsidR="00090E80" w:rsidRPr="00D14382">
        <w:rPr>
          <w:rFonts w:ascii="Times New Roman" w:hAnsi="Times New Roman"/>
          <w:sz w:val="24"/>
          <w:szCs w:val="24"/>
        </w:rPr>
        <w:t>d</w:t>
      </w:r>
      <w:r w:rsidR="00DC22A3" w:rsidRPr="00D14382">
        <w:rPr>
          <w:rFonts w:ascii="Times New Roman" w:hAnsi="Times New Roman"/>
          <w:sz w:val="24"/>
          <w:szCs w:val="24"/>
        </w:rPr>
        <w:t>aya.</w:t>
      </w:r>
    </w:p>
    <w:p w14:paraId="3350E4B4" w14:textId="3A14A127" w:rsidR="00FA1867" w:rsidRPr="00D14382" w:rsidRDefault="00577FE7" w:rsidP="000004FB">
      <w:pPr>
        <w:spacing w:after="0" w:line="480" w:lineRule="auto"/>
        <w:ind w:firstLine="567"/>
        <w:jc w:val="both"/>
        <w:rPr>
          <w:rFonts w:ascii="Times New Roman" w:hAnsi="Times New Roman"/>
          <w:sz w:val="24"/>
          <w:szCs w:val="24"/>
        </w:rPr>
      </w:pPr>
      <w:r w:rsidRPr="00D14382">
        <w:rPr>
          <w:rFonts w:ascii="Times New Roman" w:hAnsi="Times New Roman"/>
          <w:sz w:val="24"/>
          <w:szCs w:val="24"/>
        </w:rPr>
        <w:t>P</w:t>
      </w:r>
      <w:r w:rsidR="00471AB5" w:rsidRPr="00D14382">
        <w:rPr>
          <w:rFonts w:ascii="Times New Roman" w:hAnsi="Times New Roman"/>
          <w:sz w:val="24"/>
          <w:szCs w:val="24"/>
        </w:rPr>
        <w:t>enyakit yang cukup menjadi momok dalam kegiatan budidaya adalah penyakit yang disebabkan oleh bakteri sebagai agen</w:t>
      </w:r>
      <w:r w:rsidRPr="00D14382">
        <w:rPr>
          <w:rFonts w:ascii="Times New Roman" w:hAnsi="Times New Roman"/>
          <w:sz w:val="24"/>
          <w:szCs w:val="24"/>
        </w:rPr>
        <w:t>. Bakteri</w:t>
      </w:r>
      <w:r w:rsidR="00FA1867" w:rsidRPr="00D14382">
        <w:rPr>
          <w:rFonts w:ascii="Times New Roman" w:hAnsi="Times New Roman"/>
          <w:sz w:val="24"/>
          <w:szCs w:val="24"/>
        </w:rPr>
        <w:t xml:space="preserve"> </w:t>
      </w:r>
      <w:r w:rsidR="00E20910" w:rsidRPr="00D14382">
        <w:rPr>
          <w:rFonts w:ascii="Times New Roman" w:hAnsi="Times New Roman"/>
          <w:sz w:val="24"/>
          <w:szCs w:val="24"/>
        </w:rPr>
        <w:t xml:space="preserve">penyebab penyakit yang mampu menyebabkan kerugian cukup besar adalah </w:t>
      </w:r>
      <w:r w:rsidR="00E20910" w:rsidRPr="00D14382">
        <w:rPr>
          <w:rFonts w:ascii="Times New Roman" w:hAnsi="Times New Roman"/>
          <w:i/>
          <w:iCs/>
          <w:sz w:val="24"/>
          <w:szCs w:val="24"/>
        </w:rPr>
        <w:t>Streptococcus agalactiae</w:t>
      </w:r>
      <w:r w:rsidR="00DC7550" w:rsidRPr="00D14382">
        <w:rPr>
          <w:rFonts w:ascii="Times New Roman" w:hAnsi="Times New Roman"/>
          <w:i/>
          <w:iCs/>
          <w:sz w:val="24"/>
          <w:szCs w:val="24"/>
        </w:rPr>
        <w:t xml:space="preserve">, </w:t>
      </w:r>
      <w:r w:rsidR="00DC7550" w:rsidRPr="00D14382">
        <w:rPr>
          <w:rFonts w:ascii="Times New Roman" w:hAnsi="Times New Roman"/>
          <w:sz w:val="24"/>
          <w:szCs w:val="24"/>
        </w:rPr>
        <w:t xml:space="preserve">bakteri ini merupakan penyebab utama penyakit streptococcosis pada ikan. </w:t>
      </w:r>
      <w:r w:rsidR="00DC7550" w:rsidRPr="00D14382">
        <w:rPr>
          <w:rFonts w:ascii="Times New Roman" w:hAnsi="Times New Roman"/>
          <w:i/>
          <w:iCs/>
          <w:sz w:val="24"/>
          <w:szCs w:val="24"/>
        </w:rPr>
        <w:t>S. agalactiae</w:t>
      </w:r>
      <w:r w:rsidR="00DC7550" w:rsidRPr="00D14382">
        <w:rPr>
          <w:rFonts w:ascii="Times New Roman" w:hAnsi="Times New Roman"/>
          <w:sz w:val="24"/>
          <w:szCs w:val="24"/>
        </w:rPr>
        <w:t xml:space="preserve"> adalah bakteri Gram-positif yang berbentuk bulat berantai (Streptococci)</w:t>
      </w:r>
      <w:r w:rsidR="00896A4F" w:rsidRPr="00D14382">
        <w:rPr>
          <w:rFonts w:ascii="Times New Roman" w:hAnsi="Times New Roman"/>
          <w:sz w:val="24"/>
          <w:szCs w:val="24"/>
        </w:rPr>
        <w:t>, bersifat hemolitik baik alpha ataupun beta, menyerang hewan akuatik, terrestrial dan mamalia juga manusia,</w:t>
      </w:r>
      <w:r w:rsidR="00F52EEF" w:rsidRPr="00D14382">
        <w:rPr>
          <w:rFonts w:ascii="Times New Roman" w:hAnsi="Times New Roman"/>
          <w:sz w:val="24"/>
          <w:szCs w:val="24"/>
        </w:rPr>
        <w:t xml:space="preserve"> beberapa jenis ikan yang sudah diketahui rentan terhadap serangan bakteri </w:t>
      </w:r>
      <w:r w:rsidR="00056A4A" w:rsidRPr="00D14382">
        <w:rPr>
          <w:rFonts w:ascii="Times New Roman" w:hAnsi="Times New Roman"/>
          <w:i/>
          <w:iCs/>
          <w:sz w:val="24"/>
          <w:szCs w:val="24"/>
        </w:rPr>
        <w:t>S</w:t>
      </w:r>
      <w:r w:rsidR="00F52EEF" w:rsidRPr="00D14382">
        <w:rPr>
          <w:rFonts w:ascii="Times New Roman" w:hAnsi="Times New Roman"/>
          <w:i/>
          <w:iCs/>
          <w:sz w:val="24"/>
          <w:szCs w:val="24"/>
        </w:rPr>
        <w:t>treptococcus</w:t>
      </w:r>
      <w:r w:rsidR="00896A4F" w:rsidRPr="00D14382">
        <w:rPr>
          <w:rFonts w:ascii="Times New Roman" w:hAnsi="Times New Roman"/>
          <w:sz w:val="24"/>
          <w:szCs w:val="24"/>
        </w:rPr>
        <w:t xml:space="preserve"> antara lain dari </w:t>
      </w:r>
      <w:r w:rsidR="00211BD1" w:rsidRPr="00D14382">
        <w:rPr>
          <w:rFonts w:ascii="Times New Roman" w:hAnsi="Times New Roman"/>
          <w:sz w:val="24"/>
          <w:szCs w:val="24"/>
        </w:rPr>
        <w:t xml:space="preserve">golongan </w:t>
      </w:r>
      <w:r w:rsidR="00056A4A" w:rsidRPr="00D14382">
        <w:rPr>
          <w:rFonts w:ascii="Times New Roman" w:hAnsi="Times New Roman"/>
          <w:sz w:val="24"/>
          <w:szCs w:val="24"/>
        </w:rPr>
        <w:t xml:space="preserve">ikan </w:t>
      </w:r>
      <w:r w:rsidR="00211BD1" w:rsidRPr="00D14382">
        <w:rPr>
          <w:rFonts w:ascii="Times New Roman" w:hAnsi="Times New Roman"/>
          <w:sz w:val="24"/>
          <w:szCs w:val="24"/>
        </w:rPr>
        <w:t xml:space="preserve">kakap, salmon, belanak, kerapu, trout, dan tilapia </w:t>
      </w:r>
      <w:r w:rsidR="00211BD1" w:rsidRPr="00D14382">
        <w:rPr>
          <w:rFonts w:ascii="Times New Roman" w:hAnsi="Times New Roman"/>
          <w:sz w:val="24"/>
          <w:szCs w:val="24"/>
        </w:rPr>
        <w:fldChar w:fldCharType="begin"/>
      </w:r>
      <w:r w:rsidR="000C41F5">
        <w:rPr>
          <w:rFonts w:ascii="Times New Roman" w:hAnsi="Times New Roman"/>
          <w:sz w:val="24"/>
          <w:szCs w:val="24"/>
        </w:rPr>
        <w:instrText xml:space="preserve"> ADDIN ZOTERO_ITEM CSL_CITATION {"citationID":"QN9LzMdq","properties":{"formattedCitation":"(Amal and Zamri-Saad 2011)","plainCitation":"(Amal and Zamri-Saad 2011)","noteIndex":0},"citationItems":[{"id":5404,"uris":["http://zotero.org/users/5375416/items/BLVMS894"],"uri":["http://zotero.org/users/5375416/items/BLVMS894"],"itemData":{"id":5404,"type":"article-journal","container-title":"Pertanika J. Trop. Agric. Sci.","ISSN":"ISSN: 1511-3701","issue":"2","page":"195-206","title":"Streptococcosis in Tilapia (Oreochromis niloticus): A Review","volume":"34","author":[{"family":"Amal","given":"MNA"},{"family":"Zamri-Saad","given":"M"}],"issued":{"date-parts":[["2011"]]}}}],"schema":"https://github.com/citation-style-language/schema/raw/master/csl-citation.json"} </w:instrText>
      </w:r>
      <w:r w:rsidR="00211BD1" w:rsidRPr="00D14382">
        <w:rPr>
          <w:rFonts w:ascii="Times New Roman" w:hAnsi="Times New Roman"/>
          <w:sz w:val="24"/>
          <w:szCs w:val="24"/>
        </w:rPr>
        <w:fldChar w:fldCharType="separate"/>
      </w:r>
      <w:r w:rsidR="00211BD1" w:rsidRPr="00D14382">
        <w:rPr>
          <w:rFonts w:ascii="Times New Roman" w:hAnsi="Times New Roman"/>
          <w:sz w:val="24"/>
          <w:szCs w:val="24"/>
        </w:rPr>
        <w:t>(Amal and Zamri-Saad 2011)</w:t>
      </w:r>
      <w:r w:rsidR="00211BD1" w:rsidRPr="00D14382">
        <w:rPr>
          <w:rFonts w:ascii="Times New Roman" w:hAnsi="Times New Roman"/>
          <w:sz w:val="24"/>
          <w:szCs w:val="24"/>
        </w:rPr>
        <w:fldChar w:fldCharType="end"/>
      </w:r>
      <w:r w:rsidR="00211BD1" w:rsidRPr="00D14382">
        <w:rPr>
          <w:rFonts w:ascii="Times New Roman" w:hAnsi="Times New Roman"/>
          <w:sz w:val="24"/>
          <w:szCs w:val="24"/>
        </w:rPr>
        <w:t>.</w:t>
      </w:r>
    </w:p>
    <w:p w14:paraId="41629FF6" w14:textId="77777777" w:rsidR="00090E80" w:rsidRPr="00D14382" w:rsidRDefault="005B737F" w:rsidP="000004FB">
      <w:pPr>
        <w:spacing w:after="0" w:line="480" w:lineRule="auto"/>
        <w:ind w:firstLine="567"/>
        <w:jc w:val="both"/>
        <w:rPr>
          <w:rFonts w:ascii="Times New Roman" w:hAnsi="Times New Roman"/>
          <w:sz w:val="24"/>
          <w:szCs w:val="24"/>
        </w:rPr>
      </w:pPr>
      <w:r w:rsidRPr="00D14382">
        <w:rPr>
          <w:rFonts w:ascii="Times New Roman" w:hAnsi="Times New Roman"/>
          <w:sz w:val="24"/>
          <w:szCs w:val="24"/>
        </w:rPr>
        <w:t xml:space="preserve">Pada proses budidaya ikan nila, bakteri </w:t>
      </w:r>
      <w:r w:rsidRPr="00D14382">
        <w:rPr>
          <w:rFonts w:ascii="Times New Roman" w:hAnsi="Times New Roman"/>
          <w:i/>
          <w:iCs/>
          <w:sz w:val="24"/>
          <w:szCs w:val="24"/>
        </w:rPr>
        <w:t xml:space="preserve">Streptococcus </w:t>
      </w:r>
      <w:r w:rsidRPr="00D14382">
        <w:rPr>
          <w:rFonts w:ascii="Times New Roman" w:hAnsi="Times New Roman"/>
          <w:sz w:val="24"/>
          <w:szCs w:val="24"/>
        </w:rPr>
        <w:t xml:space="preserve">merupakan </w:t>
      </w:r>
      <w:r w:rsidR="00667170" w:rsidRPr="00D14382">
        <w:rPr>
          <w:rFonts w:ascii="Times New Roman" w:hAnsi="Times New Roman"/>
          <w:sz w:val="24"/>
          <w:szCs w:val="24"/>
        </w:rPr>
        <w:t>penyebab penyakit utama yang mampu mengakibatkan kerugian</w:t>
      </w:r>
      <w:r w:rsidR="00A506C9" w:rsidRPr="00D14382">
        <w:rPr>
          <w:rFonts w:ascii="Times New Roman" w:hAnsi="Times New Roman"/>
          <w:sz w:val="24"/>
          <w:szCs w:val="24"/>
        </w:rPr>
        <w:t xml:space="preserve"> yang cukup besar. Indonesia </w:t>
      </w:r>
      <w:r w:rsidR="00DD23D9" w:rsidRPr="00D14382">
        <w:rPr>
          <w:rFonts w:ascii="Times New Roman" w:hAnsi="Times New Roman"/>
          <w:sz w:val="24"/>
          <w:szCs w:val="24"/>
        </w:rPr>
        <w:t xml:space="preserve">adalah negara kedua terbesar </w:t>
      </w:r>
      <w:r w:rsidR="00A506C9" w:rsidRPr="00D14382">
        <w:rPr>
          <w:rFonts w:ascii="Times New Roman" w:hAnsi="Times New Roman"/>
          <w:sz w:val="24"/>
          <w:szCs w:val="24"/>
        </w:rPr>
        <w:t>dalam produksi ikan nila setelah China</w:t>
      </w:r>
      <w:r w:rsidR="00816105" w:rsidRPr="00D14382">
        <w:rPr>
          <w:rFonts w:ascii="Times New Roman" w:hAnsi="Times New Roman"/>
          <w:sz w:val="24"/>
          <w:szCs w:val="24"/>
        </w:rPr>
        <w:t xml:space="preserve"> Indonesia (FAO, 2015).</w:t>
      </w:r>
      <w:r w:rsidR="00A506C9" w:rsidRPr="00D14382">
        <w:rPr>
          <w:rFonts w:ascii="Times New Roman" w:hAnsi="Times New Roman"/>
          <w:sz w:val="24"/>
          <w:szCs w:val="24"/>
        </w:rPr>
        <w:t xml:space="preserve"> Sehingga keberadaan penyakit akibat bakteri </w:t>
      </w:r>
      <w:r w:rsidR="00A506C9" w:rsidRPr="00D14382">
        <w:rPr>
          <w:rFonts w:ascii="Times New Roman" w:hAnsi="Times New Roman"/>
          <w:i/>
          <w:iCs/>
          <w:sz w:val="24"/>
          <w:szCs w:val="24"/>
        </w:rPr>
        <w:t xml:space="preserve">Streptococcus </w:t>
      </w:r>
      <w:r w:rsidR="00A506C9" w:rsidRPr="00D14382">
        <w:rPr>
          <w:rFonts w:ascii="Times New Roman" w:hAnsi="Times New Roman"/>
          <w:sz w:val="24"/>
          <w:szCs w:val="24"/>
        </w:rPr>
        <w:t>menjadi perhatian yang cukup besar dari pemerintah</w:t>
      </w:r>
      <w:r w:rsidR="00DD23D9" w:rsidRPr="00D14382">
        <w:rPr>
          <w:rFonts w:ascii="Times New Roman" w:hAnsi="Times New Roman"/>
          <w:sz w:val="24"/>
          <w:szCs w:val="24"/>
        </w:rPr>
        <w:t>. Beberapa cara tel</w:t>
      </w:r>
      <w:r w:rsidR="00814466" w:rsidRPr="00D14382">
        <w:rPr>
          <w:rFonts w:ascii="Times New Roman" w:hAnsi="Times New Roman"/>
          <w:sz w:val="24"/>
          <w:szCs w:val="24"/>
        </w:rPr>
        <w:t>a</w:t>
      </w:r>
      <w:r w:rsidR="00DD23D9" w:rsidRPr="00D14382">
        <w:rPr>
          <w:rFonts w:ascii="Times New Roman" w:hAnsi="Times New Roman"/>
          <w:sz w:val="24"/>
          <w:szCs w:val="24"/>
        </w:rPr>
        <w:t xml:space="preserve">h dikembangkan untuk mengatasi penyakit akibat bakteri </w:t>
      </w:r>
      <w:r w:rsidR="00DD23D9" w:rsidRPr="00D14382">
        <w:rPr>
          <w:rFonts w:ascii="Times New Roman" w:hAnsi="Times New Roman"/>
          <w:i/>
          <w:iCs/>
          <w:sz w:val="24"/>
          <w:szCs w:val="24"/>
        </w:rPr>
        <w:t>Streptococcus</w:t>
      </w:r>
      <w:r w:rsidR="00DD23D9" w:rsidRPr="00D14382">
        <w:rPr>
          <w:rFonts w:ascii="Times New Roman" w:hAnsi="Times New Roman"/>
          <w:sz w:val="24"/>
          <w:szCs w:val="24"/>
        </w:rPr>
        <w:t>, antara lain vaksinasi dan probiotik. Namun kekayaan biodiversitas berupa tanaman yang dapat berfungsi sebagai obat sangat sayang untuk tidak dimanfaatkan, selain itu tanaman obat-obatan banyak tumbuh disekitar kolam pemeliharaan.</w:t>
      </w:r>
    </w:p>
    <w:p w14:paraId="7F9F80A6" w14:textId="21A2AB66" w:rsidR="00814466" w:rsidRPr="00D14382" w:rsidRDefault="00CA72C5" w:rsidP="000004FB">
      <w:pPr>
        <w:spacing w:after="0" w:line="480" w:lineRule="auto"/>
        <w:ind w:firstLine="567"/>
        <w:jc w:val="both"/>
        <w:rPr>
          <w:rFonts w:ascii="Times New Roman" w:hAnsi="Times New Roman"/>
          <w:sz w:val="24"/>
          <w:szCs w:val="24"/>
        </w:rPr>
      </w:pPr>
      <w:r w:rsidRPr="00D14382">
        <w:rPr>
          <w:rFonts w:ascii="Times New Roman" w:hAnsi="Times New Roman"/>
          <w:sz w:val="24"/>
          <w:szCs w:val="24"/>
        </w:rPr>
        <w:lastRenderedPageBreak/>
        <w:t xml:space="preserve">Daun kipahit adalah salah satu tumbuhan perdu yang ada di sekitar kolam pemeliharaan. </w:t>
      </w:r>
      <w:r w:rsidR="001C409C" w:rsidRPr="00D14382">
        <w:rPr>
          <w:rFonts w:ascii="Times New Roman" w:hAnsi="Times New Roman"/>
          <w:sz w:val="24"/>
          <w:szCs w:val="24"/>
        </w:rPr>
        <w:t xml:space="preserve">Tanaman kipahit sendiri merupakan tanaman yang jaang dimanfaatkan oleh manusia, meskipun mengandung senyawa yang dapat bertindak sebagai anti-oksidan, anti-bakteri dan anti-inflamasi </w:t>
      </w:r>
      <w:r w:rsidR="001C409C" w:rsidRPr="00D14382">
        <w:rPr>
          <w:rFonts w:ascii="Times New Roman" w:hAnsi="Times New Roman"/>
          <w:sz w:val="24"/>
          <w:szCs w:val="24"/>
        </w:rPr>
        <w:fldChar w:fldCharType="begin"/>
      </w:r>
      <w:r w:rsidR="000C41F5">
        <w:rPr>
          <w:rFonts w:ascii="Times New Roman" w:hAnsi="Times New Roman"/>
          <w:sz w:val="24"/>
          <w:szCs w:val="24"/>
        </w:rPr>
        <w:instrText xml:space="preserve"> ADDIN ZOTERO_ITEM CSL_CITATION {"citationID":"WbbcJEm6","properties":{"formattedCitation":"(Chukwuka and Ojo 2014)","plainCitation":"(Chukwuka and Ojo 2014)","noteIndex":0},"citationItems":[{"id":3638,"uris":["http://zotero.org/users/5375416/items/LRB545GZ"],"uri":["http://zotero.org/users/5375416/items/LRB545GZ"],"itemData":{"id":3638,"type":"article-journal","container-title":"American Journal of Essential Oils and Natural Products","issue":"4","page":"1-5","title":"Extraction and Characterization of Essential Oils from Tithonia diversifolia (Hemsl.) A . Gray","volume":"1","author":[{"family":"Chukwuka","given":"K S"},{"family":"Ojo","given":"O M"}],"issued":{"date-parts":[["2014"]]}}}],"schema":"https://github.com/citation-style-language/schema/raw/master/csl-citation.json"} </w:instrText>
      </w:r>
      <w:r w:rsidR="001C409C" w:rsidRPr="00D14382">
        <w:rPr>
          <w:rFonts w:ascii="Times New Roman" w:hAnsi="Times New Roman"/>
          <w:sz w:val="24"/>
          <w:szCs w:val="24"/>
        </w:rPr>
        <w:fldChar w:fldCharType="separate"/>
      </w:r>
      <w:r w:rsidR="001C409C" w:rsidRPr="00D14382">
        <w:rPr>
          <w:rFonts w:ascii="Times New Roman" w:hAnsi="Times New Roman"/>
          <w:sz w:val="24"/>
          <w:szCs w:val="24"/>
        </w:rPr>
        <w:t>(Chukwuka and Ojo 2014)</w:t>
      </w:r>
      <w:r w:rsidR="001C409C" w:rsidRPr="00D14382">
        <w:rPr>
          <w:rFonts w:ascii="Times New Roman" w:hAnsi="Times New Roman"/>
          <w:sz w:val="24"/>
          <w:szCs w:val="24"/>
        </w:rPr>
        <w:fldChar w:fldCharType="end"/>
      </w:r>
      <w:r w:rsidR="001C409C" w:rsidRPr="00D14382">
        <w:rPr>
          <w:rFonts w:ascii="Times New Roman" w:hAnsi="Times New Roman"/>
          <w:sz w:val="24"/>
          <w:szCs w:val="24"/>
        </w:rPr>
        <w:t xml:space="preserve">. </w:t>
      </w:r>
      <w:r w:rsidR="006E57D9" w:rsidRPr="00D14382">
        <w:rPr>
          <w:rFonts w:ascii="Times New Roman" w:hAnsi="Times New Roman"/>
          <w:sz w:val="24"/>
          <w:szCs w:val="24"/>
        </w:rPr>
        <w:t xml:space="preserve">Sedangkan sirih </w:t>
      </w:r>
      <w:r w:rsidR="00AE6964" w:rsidRPr="00D14382">
        <w:rPr>
          <w:rFonts w:ascii="Times New Roman" w:hAnsi="Times New Roman"/>
          <w:sz w:val="24"/>
          <w:szCs w:val="24"/>
        </w:rPr>
        <w:t xml:space="preserve">merupakan obat tradisional yang banyak digunakan di Indonesia, dikenal sebagai anti-bakteri, anti-oksidan, dan mempunyai aktifitas immunomodulasi </w:t>
      </w:r>
      <w:r w:rsidR="00AE6964" w:rsidRPr="00D14382">
        <w:rPr>
          <w:rFonts w:ascii="Times New Roman" w:hAnsi="Times New Roman"/>
          <w:sz w:val="24"/>
          <w:szCs w:val="24"/>
        </w:rPr>
        <w:fldChar w:fldCharType="begin"/>
      </w:r>
      <w:r w:rsidR="000C41F5">
        <w:rPr>
          <w:rFonts w:ascii="Times New Roman" w:hAnsi="Times New Roman"/>
          <w:sz w:val="24"/>
          <w:szCs w:val="24"/>
        </w:rPr>
        <w:instrText xml:space="preserve"> ADDIN ZOTERO_ITEM CSL_CITATION {"citationID":"vaHhuKg1","properties":{"formattedCitation":"(Pradhan et al. 2013)","plainCitation":"(Pradhan et al. 2013)","noteIndex":0},"citationItems":[{"id":3687,"uris":["http://zotero.org/users/5375416/items/7NF3FX3S"],"uri":["http://zotero.org/users/5375416/items/7NF3FX3S"],"itemData":{"id":3687,"type":"article-journal","abstract":"The heart shaped betel leaves are found in ancient Sanskrit texts, including Charaka, Sushruta Samhita and Astanga Hradayam. Piper betle L. have been used in chinese, Indian folk medicine for centuries. In this review, different research works related to Ayurvedic consequence, geographical distribution and cultivation, morphoanatomy, phytochemistry, biological activities, along with tradomedicinal uses which signify the tremendous potential of “Piper betle L.” to come out as Green medicine. The objective of it is to revels the potential effect of this plant in the development of therapeutically active herbal drugs against different microbial infections especially for oral cavity, which also gives the opportunity to pharmaceutical companies interested in formulation and production of natural product based drugs targeted towards specific aliments","container-title":"Journal of Pharmacognosy and Phytochemistry","ISSN":"2278-4136","issue":"6","page":"147-167","title":"Golden Heart of the Nature : Piper betle L .","volume":"1","author":[{"family":"Pradhan","given":"D"},{"family":"Suri","given":"K A"},{"family":"Pradhan","given":"D K"},{"family":"Biswasroy","given":"P"}],"issued":{"date-parts":[["2013"]]}}}],"schema":"https://github.com/citation-style-language/schema/raw/master/csl-citation.json"} </w:instrText>
      </w:r>
      <w:r w:rsidR="00AE6964" w:rsidRPr="00D14382">
        <w:rPr>
          <w:rFonts w:ascii="Times New Roman" w:hAnsi="Times New Roman"/>
          <w:sz w:val="24"/>
          <w:szCs w:val="24"/>
        </w:rPr>
        <w:fldChar w:fldCharType="separate"/>
      </w:r>
      <w:r w:rsidR="00AE6964" w:rsidRPr="00D14382">
        <w:rPr>
          <w:rFonts w:ascii="Times New Roman" w:hAnsi="Times New Roman"/>
          <w:sz w:val="24"/>
          <w:szCs w:val="24"/>
        </w:rPr>
        <w:t xml:space="preserve">(Pradhan </w:t>
      </w:r>
      <w:r w:rsidR="000C41F5" w:rsidRPr="000C41F5">
        <w:rPr>
          <w:rFonts w:ascii="Times New Roman" w:hAnsi="Times New Roman"/>
          <w:i/>
          <w:iCs/>
          <w:sz w:val="24"/>
          <w:szCs w:val="24"/>
        </w:rPr>
        <w:t>et al</w:t>
      </w:r>
      <w:r w:rsidR="00AE6964" w:rsidRPr="00D14382">
        <w:rPr>
          <w:rFonts w:ascii="Times New Roman" w:hAnsi="Times New Roman"/>
          <w:sz w:val="24"/>
          <w:szCs w:val="24"/>
        </w:rPr>
        <w:t>. 2013)</w:t>
      </w:r>
      <w:r w:rsidR="00AE6964" w:rsidRPr="00D14382">
        <w:rPr>
          <w:rFonts w:ascii="Times New Roman" w:hAnsi="Times New Roman"/>
          <w:sz w:val="24"/>
          <w:szCs w:val="24"/>
        </w:rPr>
        <w:fldChar w:fldCharType="end"/>
      </w:r>
      <w:r w:rsidR="00AE6964" w:rsidRPr="00D14382">
        <w:rPr>
          <w:rFonts w:ascii="Times New Roman" w:hAnsi="Times New Roman"/>
          <w:sz w:val="24"/>
          <w:szCs w:val="24"/>
        </w:rPr>
        <w:t xml:space="preserve">. Kedua bahan tersebut terbukti sebagai anti-bakteri dengan dosis berbeda saat diujikan pada bakteri </w:t>
      </w:r>
      <w:r w:rsidR="00AE6964" w:rsidRPr="00D14382">
        <w:rPr>
          <w:rFonts w:ascii="Times New Roman" w:hAnsi="Times New Roman"/>
          <w:i/>
          <w:iCs/>
          <w:sz w:val="24"/>
          <w:szCs w:val="24"/>
        </w:rPr>
        <w:t>Aeromonas hydrophila</w:t>
      </w:r>
      <w:r w:rsidR="00AE6964" w:rsidRPr="00D14382">
        <w:rPr>
          <w:rFonts w:ascii="Times New Roman" w:hAnsi="Times New Roman"/>
          <w:sz w:val="24"/>
          <w:szCs w:val="24"/>
        </w:rPr>
        <w:t xml:space="preserve"> </w:t>
      </w:r>
      <w:r w:rsidR="002C0A6A" w:rsidRPr="00D14382">
        <w:rPr>
          <w:rFonts w:ascii="Times New Roman" w:hAnsi="Times New Roman"/>
          <w:sz w:val="24"/>
          <w:szCs w:val="24"/>
        </w:rPr>
        <w:fldChar w:fldCharType="begin"/>
      </w:r>
      <w:r w:rsidR="000C41F5">
        <w:rPr>
          <w:rFonts w:ascii="Times New Roman" w:hAnsi="Times New Roman"/>
          <w:sz w:val="24"/>
          <w:szCs w:val="24"/>
        </w:rPr>
        <w:instrText xml:space="preserve"> ADDIN ZOTERO_ITEM CSL_CITATION {"citationID":"pgyHcQfG","properties":{"formattedCitation":"(Nafiqoh, Sukenda, Zairin, et al. 2019)","plainCitation":"(Nafiqoh, Sukenda, Zairin, et al. 2019)","noteIndex":0},"citationItems":[{"id":5409,"uris":["http://zotero.org/users/5375416/items/8QWX8GHC"],"uri":["http://zotero.org/users/5375416/items/8QWX8GHC"],"itemData":{"id":5409,"type":"article-journal","abstract":"Aquaculture of the African catfish Clarias gariepinus has rapidly increased in South-East Asia over recent years, which has now become one of the most cultivated species. This culture intensification has resulted in the development of various diseases, among which the Motile Aeromonas Septicaemia (MAS) caused by Aeromonas hydrophila. The present study aimed at investigating the potential of three plants, Piper betle, Psidium guajava, and Tithonia diversifolia, to prevent this disease using an enriched fish diet during 4 weeks. Though the minimum inhibitory and bactericidal concentrations of acetone–extracts were relatively high (2–32 mg mL−1 and 8–64 mg mL−1, respectively), all three plant powders imbedded in feed significantly reduced fish mortalities following an experimental infection with A. hydrophila, as indicated by relative percent survivals (RPS) ranging from 77 to 79%. When used in combination, the three plant extracts showed no interaction in vitro. Even though they improved RPS in comparison with controls, they were, however, less efficient in reducing mortalities than single plants. None of the plant-enriched diet had a clear effect on blood cell count or on reactive oxygen species (ROS) production (except for P. betle, which significantly increased ROS production after infection); however, both individual plants and their combinations significantly limited the drop of hematocrit following infection. Altogether, these results indicate that selection of plants for herbal therapy is complex and might depend on several in vivo criteria, and as such should not solely rely upon measurement of their antimicrobial activity.","container-title":"Aquaculture International","DOI":"10.1007/s10499-019-00439-6","ISSN":"1573-143X","journalAbbreviation":"Aquacult Int","language":"en","source":"Springer Link","title":"Antimicrobial properties against Aeromonas hydrophila and immunostimulant effect on Clarias gariepinus of Piper betle, Psidium guajava, and Tithonia diversifolia plants","URL":"https://doi.org/10.1007/s10499-019-00439-6","author":[{"family":"Nafiqoh","given":"Nunak"},{"literal":"Sukenda"},{"family":"Zairin","given":"M."},{"literal":"Alimuddin"},{"family":"Lusiastuti","given":"Angela"},{"family":"Sarter","given":"Samira"},{"family":"Caruso","given":"Domenico"},{"family":"Avarre","given":"Jean-Christophe"}],"accessed":{"date-parts":[["2019",11,6]]},"issued":{"date-parts":[["2019",8,5]]}}}],"schema":"https://github.com/citation-style-language/schema/raw/master/csl-citation.json"} </w:instrText>
      </w:r>
      <w:r w:rsidR="002C0A6A" w:rsidRPr="00D14382">
        <w:rPr>
          <w:rFonts w:ascii="Times New Roman" w:hAnsi="Times New Roman"/>
          <w:sz w:val="24"/>
          <w:szCs w:val="24"/>
        </w:rPr>
        <w:fldChar w:fldCharType="separate"/>
      </w:r>
      <w:r w:rsidR="000901F9" w:rsidRPr="00D14382">
        <w:rPr>
          <w:rFonts w:ascii="Times New Roman" w:hAnsi="Times New Roman"/>
          <w:sz w:val="24"/>
          <w:szCs w:val="24"/>
        </w:rPr>
        <w:t xml:space="preserve">(Nafiqoh, Sukenda, Zairin, </w:t>
      </w:r>
      <w:r w:rsidR="000C41F5" w:rsidRPr="000C41F5">
        <w:rPr>
          <w:rFonts w:ascii="Times New Roman" w:hAnsi="Times New Roman"/>
          <w:i/>
          <w:iCs/>
          <w:sz w:val="24"/>
          <w:szCs w:val="24"/>
        </w:rPr>
        <w:t>et al</w:t>
      </w:r>
      <w:r w:rsidR="000901F9" w:rsidRPr="00D14382">
        <w:rPr>
          <w:rFonts w:ascii="Times New Roman" w:hAnsi="Times New Roman"/>
          <w:sz w:val="24"/>
          <w:szCs w:val="24"/>
        </w:rPr>
        <w:t>. 2019)</w:t>
      </w:r>
      <w:r w:rsidR="002C0A6A" w:rsidRPr="00D14382">
        <w:rPr>
          <w:rFonts w:ascii="Times New Roman" w:hAnsi="Times New Roman"/>
          <w:sz w:val="24"/>
          <w:szCs w:val="24"/>
        </w:rPr>
        <w:fldChar w:fldCharType="end"/>
      </w:r>
      <w:r w:rsidR="002C0A6A" w:rsidRPr="00D14382">
        <w:rPr>
          <w:rFonts w:ascii="Times New Roman" w:hAnsi="Times New Roman"/>
          <w:sz w:val="24"/>
          <w:szCs w:val="24"/>
        </w:rPr>
        <w:t xml:space="preserve">. </w:t>
      </w:r>
    </w:p>
    <w:p w14:paraId="251749CE" w14:textId="2A94AEE1" w:rsidR="006673BA" w:rsidRPr="00D14382" w:rsidRDefault="00521973" w:rsidP="000004FB">
      <w:pPr>
        <w:spacing w:after="0" w:line="480" w:lineRule="auto"/>
        <w:ind w:firstLine="567"/>
        <w:jc w:val="both"/>
        <w:rPr>
          <w:rFonts w:ascii="Times New Roman" w:hAnsi="Times New Roman"/>
          <w:sz w:val="24"/>
          <w:szCs w:val="24"/>
        </w:rPr>
      </w:pPr>
      <w:r w:rsidRPr="00D14382">
        <w:rPr>
          <w:rFonts w:ascii="Times New Roman" w:hAnsi="Times New Roman"/>
          <w:sz w:val="24"/>
          <w:szCs w:val="24"/>
        </w:rPr>
        <w:t>Beberapa studi tentang penggunaan bahan tanaman obat</w:t>
      </w:r>
      <w:r w:rsidR="001A0DBC" w:rsidRPr="00D14382">
        <w:rPr>
          <w:rFonts w:ascii="Times New Roman" w:hAnsi="Times New Roman"/>
          <w:sz w:val="24"/>
          <w:szCs w:val="24"/>
        </w:rPr>
        <w:t xml:space="preserve"> menunjukkan bukti efikasi dari tanaman obat yang digunakan</w:t>
      </w:r>
      <w:r w:rsidR="00BC2AA7" w:rsidRPr="00D14382">
        <w:rPr>
          <w:rFonts w:ascii="Times New Roman" w:hAnsi="Times New Roman"/>
          <w:sz w:val="24"/>
          <w:szCs w:val="24"/>
        </w:rPr>
        <w:t xml:space="preserve"> baik digunakan secara tunggal ataupun kombinasi, namun studi lanjutan menegaskan bahwa kombinasi dari tanaman obat mempunyai efikasi yang lebih baik sebagai obat </w:t>
      </w:r>
      <w:r w:rsidR="00BC2AA7" w:rsidRPr="00D14382">
        <w:rPr>
          <w:rFonts w:ascii="Times New Roman" w:hAnsi="Times New Roman"/>
          <w:sz w:val="24"/>
          <w:szCs w:val="24"/>
        </w:rPr>
        <w:fldChar w:fldCharType="begin"/>
      </w:r>
      <w:r w:rsidR="000C41F5">
        <w:rPr>
          <w:rFonts w:ascii="Times New Roman" w:hAnsi="Times New Roman"/>
          <w:sz w:val="24"/>
          <w:szCs w:val="24"/>
        </w:rPr>
        <w:instrText xml:space="preserve"> ADDIN ZOTERO_ITEM CSL_CITATION {"citationID":"IRWOmXRa","properties":{"formattedCitation":"(Che et al. 2013; Ji et al. 2007)","plainCitation":"(Che et al. 2013; Ji et al. 2007)","noteIndex":0},"citationItems":[{"id":3951,"uris":["http://zotero.org/users/5375416/items/YTYHMCWL"],"uri":["http://zotero.org/users/5375416/items/YTYHMCWL"],"itemData":{"id":3951,"type":"article-journal","abstract":"Herb-herb combinations have been used in Chinese medicine practice for thousands of years, yet scientific evidence of their therapeutic benefits is lacking. With increasing interest in shifting from the one-drug-one-target paradigm to combination therapy or polypharmacy to achieve therapeutic benefits for a number of diseases, there is momentum to explore new knowledge by tapping the past empirical experiences of herb-herb combinations. This review presents an overview of the traditional concept and practice of herb-herb combination in Chinese medicine, and highlights the available scientific and clinical evidence to support the combined use of herbs. It is hoped that such information would provide a lead for developing new approaches for future therapeutic advancement and pharmaceutical product development. Very likely modern technologies combined with innovative research for the quality control of herbal products, identification of active components and understanding of the molecular mechanism, followed by well-designed animal and clinical studies would pave the way in advancing the wealth of empirical knowledge from herb-herb combination to new therapeutic modalities.","container-title":"Molecules","DOI":"10.3390/molecules18055125","page":"5125-5141","title":"Herb-Herb Combination for Therapeutic Enhancement and Advancement: Theory, Practice and Future Perspectives","volume":"18","author":[{"family":"Che","given":"C. T"},{"family":"Wang","given":"Z. J"},{"family":"Sing","given":"M"},{"family":"Chow","given":"S"},{"family":"Wai","given":"C"},{"family":"Lam","given":"K"}],"issued":{"date-parts":[["2013"]]}}},{"id":3207,"uris":["http://zotero.org/users/5375416/items/J8H6HDW4"],"uri":["http://zotero.org/users/5375416/items/J8H6HDW4"],"itemData":{"id":3207,"type":"article-journal","container-title":"Fisheries Science","DOI":"10.1111/j.1444-2906.2007.01302.x","ISSN":"8173558124","issue":"1","journalAbbreviation":"Fish. Sci.","page":"63-69","title":"Dietary medicinal herbs improve growth and some non-specific immunity of red sea bream Pagrus major","volume":"73","author":[{"family":"Ji","given":"Seung Cheol"},{"family":"Takaoka","given":"Osamu"},{"family":"Jeong","given":"Gwan Sik"},{"family":"Lee","given":"Si Woo"},{"family":"Ishimaru","given":"Katsuya"},{"family":"Seoka","given":"Manabu"},{"family":"Takii","given":"Kenji"}],"issued":{"date-parts":[["2007"]]}}}],"schema":"https://github.com/citation-style-language/schema/raw/master/csl-citation.json"} </w:instrText>
      </w:r>
      <w:r w:rsidR="00BC2AA7" w:rsidRPr="00D14382">
        <w:rPr>
          <w:rFonts w:ascii="Times New Roman" w:hAnsi="Times New Roman"/>
          <w:sz w:val="24"/>
          <w:szCs w:val="24"/>
        </w:rPr>
        <w:fldChar w:fldCharType="separate"/>
      </w:r>
      <w:r w:rsidR="00BC2AA7" w:rsidRPr="00D14382">
        <w:rPr>
          <w:rFonts w:ascii="Times New Roman" w:hAnsi="Times New Roman"/>
          <w:sz w:val="24"/>
          <w:szCs w:val="24"/>
        </w:rPr>
        <w:t xml:space="preserve">(Che </w:t>
      </w:r>
      <w:r w:rsidR="000C41F5" w:rsidRPr="000C41F5">
        <w:rPr>
          <w:rFonts w:ascii="Times New Roman" w:hAnsi="Times New Roman"/>
          <w:i/>
          <w:iCs/>
          <w:sz w:val="24"/>
          <w:szCs w:val="24"/>
        </w:rPr>
        <w:t>et al</w:t>
      </w:r>
      <w:r w:rsidR="00BC2AA7" w:rsidRPr="00D14382">
        <w:rPr>
          <w:rFonts w:ascii="Times New Roman" w:hAnsi="Times New Roman"/>
          <w:sz w:val="24"/>
          <w:szCs w:val="24"/>
        </w:rPr>
        <w:t xml:space="preserve">. 2013; Ji </w:t>
      </w:r>
      <w:r w:rsidR="000C41F5" w:rsidRPr="000C41F5">
        <w:rPr>
          <w:rFonts w:ascii="Times New Roman" w:hAnsi="Times New Roman"/>
          <w:i/>
          <w:iCs/>
          <w:sz w:val="24"/>
          <w:szCs w:val="24"/>
        </w:rPr>
        <w:t>et al</w:t>
      </w:r>
      <w:r w:rsidR="00BC2AA7" w:rsidRPr="00D14382">
        <w:rPr>
          <w:rFonts w:ascii="Times New Roman" w:hAnsi="Times New Roman"/>
          <w:sz w:val="24"/>
          <w:szCs w:val="24"/>
        </w:rPr>
        <w:t>. 2007)</w:t>
      </w:r>
      <w:r w:rsidR="00BC2AA7" w:rsidRPr="00D14382">
        <w:rPr>
          <w:rFonts w:ascii="Times New Roman" w:hAnsi="Times New Roman"/>
          <w:sz w:val="24"/>
          <w:szCs w:val="24"/>
        </w:rPr>
        <w:fldChar w:fldCharType="end"/>
      </w:r>
      <w:r w:rsidR="00BC2AA7" w:rsidRPr="00D14382">
        <w:rPr>
          <w:rFonts w:ascii="Times New Roman" w:hAnsi="Times New Roman"/>
          <w:sz w:val="24"/>
          <w:szCs w:val="24"/>
        </w:rPr>
        <w:t xml:space="preserve">. Oleh karena itu studi ini dilakukan untuk </w:t>
      </w:r>
      <w:r w:rsidR="009B1366" w:rsidRPr="00D14382">
        <w:rPr>
          <w:rFonts w:ascii="Times New Roman" w:hAnsi="Times New Roman"/>
          <w:sz w:val="24"/>
          <w:szCs w:val="24"/>
        </w:rPr>
        <w:t xml:space="preserve">mengetahui prospek tanaman obat sirih dan kipahit yang dikombinasikan sebagai peningkat system imun pada ikan nila yang di uji tantang dengan bakteri </w:t>
      </w:r>
      <w:r w:rsidR="009B1366" w:rsidRPr="00D14382">
        <w:rPr>
          <w:rFonts w:ascii="Times New Roman" w:hAnsi="Times New Roman"/>
          <w:i/>
          <w:iCs/>
          <w:sz w:val="24"/>
          <w:szCs w:val="24"/>
        </w:rPr>
        <w:t>Streptococcus agalactiae.</w:t>
      </w:r>
    </w:p>
    <w:p w14:paraId="3D15F813" w14:textId="77777777" w:rsidR="001B13F1" w:rsidRPr="00D14382" w:rsidRDefault="001B13F1" w:rsidP="000004FB">
      <w:pPr>
        <w:spacing w:after="0" w:line="480" w:lineRule="auto"/>
        <w:jc w:val="both"/>
        <w:rPr>
          <w:rFonts w:ascii="Times New Roman" w:hAnsi="Times New Roman"/>
          <w:sz w:val="24"/>
          <w:szCs w:val="24"/>
        </w:rPr>
      </w:pPr>
      <w:r w:rsidRPr="00D14382">
        <w:rPr>
          <w:rFonts w:ascii="Times New Roman" w:hAnsi="Times New Roman"/>
          <w:sz w:val="24"/>
          <w:szCs w:val="24"/>
        </w:rPr>
        <w:t>Bahan dan Metode</w:t>
      </w:r>
    </w:p>
    <w:p w14:paraId="0EDAC0B4" w14:textId="77777777" w:rsidR="00005622" w:rsidRPr="00D14382" w:rsidRDefault="00005622" w:rsidP="000004FB">
      <w:pPr>
        <w:pStyle w:val="Paragraf"/>
        <w:spacing w:after="0" w:line="480" w:lineRule="auto"/>
        <w:jc w:val="both"/>
        <w:rPr>
          <w:rFonts w:eastAsia="Times New Roman" w:cs="Times New Roman"/>
          <w:szCs w:val="24"/>
          <w:lang w:val="en-GB" w:eastAsia="ja-JP"/>
        </w:rPr>
      </w:pPr>
      <w:r w:rsidRPr="00D14382">
        <w:rPr>
          <w:rFonts w:eastAsia="Times New Roman" w:cs="Times New Roman"/>
          <w:szCs w:val="24"/>
          <w:lang w:val="en-GB" w:eastAsia="ja-JP"/>
        </w:rPr>
        <w:t>Ekstraksi tanaman obat</w:t>
      </w:r>
    </w:p>
    <w:p w14:paraId="791F7E06" w14:textId="77777777" w:rsidR="00005622" w:rsidRPr="00D14382" w:rsidRDefault="00BE22A4" w:rsidP="000004FB">
      <w:pPr>
        <w:pStyle w:val="Paragraf"/>
        <w:spacing w:after="0" w:line="480" w:lineRule="auto"/>
        <w:ind w:firstLine="567"/>
        <w:jc w:val="both"/>
        <w:rPr>
          <w:rFonts w:eastAsia="Times New Roman" w:cs="Times New Roman"/>
          <w:szCs w:val="24"/>
          <w:lang w:val="en-GB" w:eastAsia="ja-JP"/>
        </w:rPr>
      </w:pPr>
      <w:r w:rsidRPr="00D14382">
        <w:rPr>
          <w:rFonts w:eastAsia="Times New Roman" w:cs="Times New Roman"/>
          <w:szCs w:val="24"/>
          <w:lang w:val="en-GB" w:eastAsia="ja-JP"/>
        </w:rPr>
        <w:t xml:space="preserve">Tanaman obat berupa daun sirih dan kipahit didapatkan dari Balai Penelitian Tanaman Rempah dan Obat (Balitro) berupa serbuk kering, kemudian serbuk tersebut diekstrak dengan metode maserasi menggunakan pelarut aceton dengan perbandingan 1:10 g/v. Larutan di diamkan </w:t>
      </w:r>
      <w:r w:rsidR="00043CEE" w:rsidRPr="00D14382">
        <w:rPr>
          <w:rFonts w:eastAsia="Times New Roman" w:cs="Times New Roman"/>
          <w:szCs w:val="24"/>
          <w:lang w:val="en-GB" w:eastAsia="ja-JP"/>
        </w:rPr>
        <w:t>semalam pada suhu ruang dalam orbital shaker (50 rpm). Larutan rendaman tanaman obat kemudian di saring menggunakan kertas saring Whatmann (</w:t>
      </w:r>
      <w:r w:rsidR="00043CEE" w:rsidRPr="00D14382">
        <w:rPr>
          <w:rFonts w:cs="Times New Roman"/>
          <w:szCs w:val="24"/>
          <w:lang w:val="en-GB"/>
        </w:rPr>
        <w:t xml:space="preserve">N°41). Larutan yang telah disaring kemudian dievaporasi </w:t>
      </w:r>
      <w:r w:rsidR="00043CEE" w:rsidRPr="00D14382">
        <w:rPr>
          <w:rFonts w:cs="Times New Roman"/>
          <w:szCs w:val="24"/>
          <w:lang w:val="en-GB"/>
        </w:rPr>
        <w:lastRenderedPageBreak/>
        <w:t>menggunakan alat rotary evaporator (</w:t>
      </w:r>
      <w:r w:rsidR="006F2A2B" w:rsidRPr="00D14382">
        <w:rPr>
          <w:rFonts w:cs="Times New Roman"/>
          <w:szCs w:val="24"/>
          <w:lang w:val="en-GB"/>
        </w:rPr>
        <w:t xml:space="preserve">Heidolph WB 200) hingga semua pelarut menguap. Hasil ekstrak kemudian disimpan dalam botol kaca gelap pada suhu 4 °C untuk digunakan pada uji </w:t>
      </w:r>
      <w:r w:rsidR="006F2A2B" w:rsidRPr="00D14382">
        <w:rPr>
          <w:rFonts w:cs="Times New Roman"/>
          <w:i/>
          <w:iCs/>
          <w:szCs w:val="24"/>
          <w:lang w:val="en-GB"/>
        </w:rPr>
        <w:t>in vitro</w:t>
      </w:r>
      <w:r w:rsidR="006F2A2B" w:rsidRPr="00D14382">
        <w:rPr>
          <w:rFonts w:cs="Times New Roman"/>
          <w:szCs w:val="24"/>
          <w:lang w:val="en-GB"/>
        </w:rPr>
        <w:t>.</w:t>
      </w:r>
    </w:p>
    <w:p w14:paraId="7C06CDB0" w14:textId="496E044A" w:rsidR="001D1631" w:rsidRPr="00D14382" w:rsidRDefault="001D1631" w:rsidP="000004FB">
      <w:pPr>
        <w:pStyle w:val="Paragraf"/>
        <w:spacing w:after="0" w:line="480" w:lineRule="auto"/>
        <w:jc w:val="both"/>
        <w:rPr>
          <w:rFonts w:cs="Times New Roman"/>
          <w:szCs w:val="24"/>
          <w:lang w:val="en-GB"/>
        </w:rPr>
      </w:pPr>
      <w:r w:rsidRPr="00D14382">
        <w:rPr>
          <w:rFonts w:cs="Times New Roman"/>
          <w:szCs w:val="24"/>
          <w:lang w:val="en-GB"/>
        </w:rPr>
        <w:t>Persiapan pakan dan pemeliharaan ikan</w:t>
      </w:r>
    </w:p>
    <w:p w14:paraId="2C0DD10D" w14:textId="7A8739FF" w:rsidR="00417EED" w:rsidRPr="00D14382" w:rsidRDefault="00C8798A" w:rsidP="000004FB">
      <w:pPr>
        <w:pStyle w:val="Paragraf"/>
        <w:spacing w:after="0" w:line="480" w:lineRule="auto"/>
        <w:ind w:firstLine="567"/>
        <w:jc w:val="both"/>
        <w:rPr>
          <w:rFonts w:cs="Times New Roman"/>
          <w:szCs w:val="24"/>
          <w:lang w:val="en-GB"/>
        </w:rPr>
      </w:pPr>
      <w:r w:rsidRPr="00D14382">
        <w:rPr>
          <w:rFonts w:cs="Times New Roman"/>
          <w:szCs w:val="24"/>
          <w:lang w:val="en-GB"/>
        </w:rPr>
        <w:t>Tanaman obat yang akan digunakan direndam dalam akuades dengan komposisi 1, 2, 3, 4 dan 8 gr 100 mL</w:t>
      </w:r>
      <w:r w:rsidRPr="00D14382">
        <w:rPr>
          <w:rFonts w:cs="Times New Roman"/>
          <w:szCs w:val="24"/>
          <w:vertAlign w:val="superscript"/>
          <w:lang w:val="en-GB"/>
        </w:rPr>
        <w:t>-1</w:t>
      </w:r>
      <w:r w:rsidRPr="00D14382">
        <w:rPr>
          <w:rFonts w:cs="Times New Roman"/>
          <w:szCs w:val="24"/>
          <w:lang w:val="en-GB"/>
        </w:rPr>
        <w:t xml:space="preserve"> akuades selama semalam, kemudian disaring menggunakan kertas saring dan di semprotkan pada 100 gr pakan, pakan dikeringanginkan dan disimpan dalam wadah bersih tertutup</w:t>
      </w:r>
      <w:r w:rsidR="00417EED" w:rsidRPr="00D14382">
        <w:rPr>
          <w:rFonts w:cs="Times New Roman"/>
          <w:szCs w:val="24"/>
          <w:lang w:val="en-GB"/>
        </w:rPr>
        <w:t>, sedangkan pakan control merupakan pakan yang tidak ditambahkan tanaman obat.</w:t>
      </w:r>
    </w:p>
    <w:p w14:paraId="291999CB" w14:textId="77777777" w:rsidR="00C8798A" w:rsidRPr="00D14382" w:rsidRDefault="00C8798A" w:rsidP="000004FB">
      <w:pPr>
        <w:pStyle w:val="Paragraf"/>
        <w:spacing w:after="0" w:line="480" w:lineRule="auto"/>
        <w:ind w:firstLine="567"/>
        <w:jc w:val="both"/>
        <w:rPr>
          <w:rFonts w:cs="Times New Roman"/>
          <w:szCs w:val="24"/>
          <w:lang w:val="en-GB"/>
        </w:rPr>
      </w:pPr>
      <w:r w:rsidRPr="00D14382">
        <w:rPr>
          <w:rFonts w:cs="Times New Roman"/>
          <w:szCs w:val="24"/>
          <w:lang w:val="en-GB"/>
        </w:rPr>
        <w:t>Ikan nila berukuran 10±2 cm dipelihara dalam bak bervolume 40 liter dengan kepadatan 2 ekor L</w:t>
      </w:r>
      <w:r w:rsidRPr="00D14382">
        <w:rPr>
          <w:rFonts w:cs="Times New Roman"/>
          <w:szCs w:val="24"/>
          <w:vertAlign w:val="superscript"/>
          <w:lang w:val="en-GB"/>
        </w:rPr>
        <w:t>-1</w:t>
      </w:r>
      <w:r w:rsidRPr="00D14382">
        <w:rPr>
          <w:rFonts w:cs="Times New Roman"/>
          <w:szCs w:val="24"/>
          <w:lang w:val="en-GB"/>
        </w:rPr>
        <w:t xml:space="preserve">. </w:t>
      </w:r>
      <w:r w:rsidR="00417EED" w:rsidRPr="00D14382">
        <w:rPr>
          <w:rFonts w:cs="Times New Roman"/>
          <w:szCs w:val="24"/>
          <w:lang w:val="en-GB"/>
        </w:rPr>
        <w:t xml:space="preserve">Ikan dipelihara selama 4 minggu dengan diberikan pakan perlakuan sebayka 3% dari biomassa. Pada ahir pemeliharaan ikan di uji tantang menggunakan bakteri pathogen </w:t>
      </w:r>
      <w:r w:rsidR="00417EED" w:rsidRPr="00D14382">
        <w:rPr>
          <w:rFonts w:cs="Times New Roman"/>
          <w:i/>
          <w:iCs/>
          <w:szCs w:val="24"/>
          <w:lang w:val="en-GB"/>
        </w:rPr>
        <w:t>Streptococcus agalactiae</w:t>
      </w:r>
      <w:r w:rsidR="00417EED" w:rsidRPr="00D14382">
        <w:rPr>
          <w:rFonts w:cs="Times New Roman"/>
          <w:szCs w:val="24"/>
          <w:lang w:val="en-GB"/>
        </w:rPr>
        <w:t xml:space="preserve"> dan kematian di amati sampai hari ke-4 pasca uji tantang. Setiap kelompok perlakuan dilakukan sebanyak tiga kali ulangan.</w:t>
      </w:r>
    </w:p>
    <w:p w14:paraId="36D72D4C" w14:textId="77777777" w:rsidR="00417EED" w:rsidRPr="00D14382" w:rsidRDefault="00417EED" w:rsidP="000004FB">
      <w:pPr>
        <w:pStyle w:val="Paragraf"/>
        <w:spacing w:after="0" w:line="480" w:lineRule="auto"/>
        <w:jc w:val="both"/>
        <w:rPr>
          <w:rFonts w:cs="Times New Roman"/>
          <w:szCs w:val="24"/>
          <w:lang w:val="en-GB"/>
        </w:rPr>
      </w:pPr>
      <w:r w:rsidRPr="00D14382">
        <w:rPr>
          <w:rFonts w:cs="Times New Roman"/>
          <w:szCs w:val="24"/>
          <w:lang w:val="en-GB"/>
        </w:rPr>
        <w:t>Pengambilan sampel</w:t>
      </w:r>
    </w:p>
    <w:p w14:paraId="77F18570" w14:textId="43A5A8B4" w:rsidR="00417EED" w:rsidRPr="00D14382" w:rsidRDefault="00417EED" w:rsidP="000004FB">
      <w:pPr>
        <w:pStyle w:val="Paragraf"/>
        <w:spacing w:after="0" w:line="480" w:lineRule="auto"/>
        <w:ind w:firstLine="567"/>
        <w:jc w:val="both"/>
        <w:rPr>
          <w:rFonts w:cs="Times New Roman"/>
          <w:szCs w:val="24"/>
          <w:lang w:val="en-GB"/>
        </w:rPr>
      </w:pPr>
      <w:r w:rsidRPr="00D14382">
        <w:rPr>
          <w:rFonts w:cs="Times New Roman"/>
          <w:szCs w:val="24"/>
          <w:lang w:val="en-GB"/>
        </w:rPr>
        <w:t>Pengambilan sampel dilakukan pada ahir masa pemeliharaan dan pasca uji tantang. Sampel yang diambil adalah darah yang diambil menggunakan spuit</w:t>
      </w:r>
      <w:r w:rsidRPr="00D14382">
        <w:rPr>
          <w:rFonts w:cs="Times New Roman"/>
          <w:i/>
          <w:iCs/>
          <w:szCs w:val="24"/>
          <w:lang w:val="en-GB"/>
        </w:rPr>
        <w:t xml:space="preserve"> </w:t>
      </w:r>
      <w:r w:rsidRPr="00D14382">
        <w:rPr>
          <w:rFonts w:cs="Times New Roman"/>
          <w:szCs w:val="24"/>
          <w:lang w:val="en-GB"/>
        </w:rPr>
        <w:t>1 cc. darah dibagi menjadi dua bagian, satu bagian di campur dengan 3,8% Natrium sitrat sebagai anti-koagulan dan satu bagian di diamkan selama 2 jam pada suhu ruang untuk disentrifus untuk koleksi serum</w:t>
      </w:r>
      <w:r w:rsidR="00B23EA7" w:rsidRPr="00D14382">
        <w:rPr>
          <w:rFonts w:cs="Times New Roman"/>
          <w:szCs w:val="24"/>
          <w:lang w:val="en-GB"/>
        </w:rPr>
        <w:t>, serum yang dikoleksi kemudian disimpan pada suhu -20</w:t>
      </w:r>
      <w:r w:rsidR="00B23EA7" w:rsidRPr="00D14382">
        <w:rPr>
          <w:rFonts w:cs="Times New Roman"/>
          <w:szCs w:val="24"/>
          <w:lang w:val="en-GB"/>
        </w:rPr>
        <w:sym w:font="Symbol" w:char="F0B0"/>
      </w:r>
      <w:r w:rsidR="00B23EA7" w:rsidRPr="00D14382">
        <w:rPr>
          <w:rFonts w:cs="Times New Roman"/>
          <w:szCs w:val="24"/>
          <w:lang w:val="en-GB"/>
        </w:rPr>
        <w:t>C untuk uji lisosim. Sedangkan darah dengan anti-koagulan digunakan untuk Analisa jumlah eritrosit, leukosit dan Nitroblue Tetrazolium (NBT).</w:t>
      </w:r>
    </w:p>
    <w:p w14:paraId="14F3AF10" w14:textId="77777777" w:rsidR="00B23EA7" w:rsidRPr="00D14382" w:rsidRDefault="00B23EA7" w:rsidP="000004FB">
      <w:pPr>
        <w:pStyle w:val="Paragraf"/>
        <w:spacing w:after="0" w:line="480" w:lineRule="auto"/>
        <w:jc w:val="both"/>
        <w:rPr>
          <w:rFonts w:cs="Times New Roman"/>
          <w:szCs w:val="24"/>
          <w:lang w:val="en-GB"/>
        </w:rPr>
      </w:pPr>
      <w:r w:rsidRPr="00D14382">
        <w:rPr>
          <w:rFonts w:cs="Times New Roman"/>
          <w:szCs w:val="24"/>
          <w:lang w:val="en-GB"/>
        </w:rPr>
        <w:lastRenderedPageBreak/>
        <w:t>Eritrosit dan Leukosit</w:t>
      </w:r>
    </w:p>
    <w:p w14:paraId="638FC5B0" w14:textId="54369B5C" w:rsidR="00B23EA7" w:rsidRPr="00D14382" w:rsidRDefault="00B23EA7" w:rsidP="000004FB">
      <w:pPr>
        <w:pStyle w:val="Paragraf"/>
        <w:spacing w:after="0" w:line="480" w:lineRule="auto"/>
        <w:ind w:firstLine="567"/>
        <w:jc w:val="both"/>
        <w:rPr>
          <w:rFonts w:cs="Times New Roman"/>
          <w:szCs w:val="24"/>
          <w:lang w:val="en-GB"/>
        </w:rPr>
      </w:pPr>
      <w:r w:rsidRPr="00D14382">
        <w:rPr>
          <w:rFonts w:cs="Times New Roman"/>
          <w:szCs w:val="24"/>
          <w:lang w:val="en-GB"/>
        </w:rPr>
        <w:t xml:space="preserve">Jumlah eritrosit dan leukosit di lakukan sesuai prosedur yang telah dijelaskan oleh </w:t>
      </w:r>
      <w:r w:rsidRPr="00D14382">
        <w:rPr>
          <w:rFonts w:cs="Times New Roman"/>
          <w:szCs w:val="24"/>
        </w:rPr>
        <w:fldChar w:fldCharType="begin"/>
      </w:r>
      <w:r w:rsidR="007D363A">
        <w:rPr>
          <w:rFonts w:cs="Times New Roman"/>
          <w:szCs w:val="24"/>
        </w:rPr>
        <w:instrText xml:space="preserve"> ADDIN ZOTERO_ITEM CSL_CITATION {"citationID":"59fVv7LZ","properties":{"formattedCitation":"(Ngugi {\\i{}et al.}, 2015)","plainCitation":"(Ngugi et al., 2015)","dontUpdate":true,"noteIndex":0},"citationItems":[{"id":"fRIXYPfn/l1JELWHW","uris":["http://www.mendeley.com/documents/?uuid=91aaf888-7cf6-4a18-abbd-ca00ec6b193e"],"uri":["http://www.mendeley.com/documents/?uuid=91aaf888-7cf6-4a18-abbd-ca00ec6b193e"],"itemData":{"DOI":"10.1016/j.fsi.2015.03.025","ISBN":"2547202220","ISSN":"10959947","PMID":"25827627","abstract":"We investigated effects of dietary administration of stinging nettle (Urtica dioica) on growth performance, biochemical, hematological and immunological parameters in juvenile and adult Victoria Labeo (Labeo victorianus) against Aeromonas hydrophila. Fish were divided into 4 groups and fed for 4 and 16 weeks with 0%, 1%, 2% and 5% of U.dioica incorporated into the diet. Use of U.dioica in the diet resulted in improved biochemical, hematological and immunological parameters. Among the biochemical parameters; plasma cortisol, glucose, triglyceride and cholesterol decreased while total protein and albumin in fish increased with increasing dietary inclusion of U.dioica. Among the haematology parameters: red blood cell (RBC), white blood cell (WBC) counts, haematocrit (Htc), mean cell haemoglobin (MCH), mean cell haemoglobin concentration (MCHC) and netrophiles increased with increasing dietary inclusion levels of U.dioica, some depending on the fish age. Serum immunoglobulins, lysozyme activity and respiratory burst were the main immunological parameters in the adult and juvenile L.victorianus measured and they all increased with increasing herbal inclusion of U.dioica in the diet. Dietary incorporation of U.dioica at 5% showed significantly higher relative percentage survival (up to 95%) against A.hydrophila. The current results demonstrate that using U.dioica can stimulate fish immunity and make L.victorianus more resistant to bacterial infection (A.hydrophila).","author":[{"dropping-particle":"","family":"Ngugi","given":"Charles C.","non-dropping-particle":"","parse-names":false,"suffix":""},{"dropping-particle":"","family":"Oyoo-Okoth","given":"Elijah","non-dropping-particle":"","parse-names":false,"suffix":""},{"dropping-particle":"","family":"Mugo-Bundi","given":"James","non-dropping-particle":"","parse-names":false,"suffix":""},{"dropping-particle":"","family":"Orina","given":"Paul Sagwe","non-dropping-particle":"","parse-names":false,"suffix":""},{"dropping-particle":"","family":"Chemoiwa","given":"Emily Jepyegon","non-dropping-particle":"","parse-names":false,"suffix":""},{"dropping-particle":"","family":"Aloo","given":"Peninah A.","non-dropping-particle":"","parse-names":false,"suffix":""}],"container-title":"Fish and Shellfish Immunology","id":"kHvmLHhy/772djU3D","issue":"2","issued":{"date-parts":[["2015"]]},"page":"533-541","title":"Effects of dietary administration of stinging nettle (Urtica dioica) on the growth performance, biochemical, hematological and immunological parameters in juvenile and adult Victoria Labeo (Labeo victorianus) challenged with Aeromonas hydrophila","type":"article-journal","volume":"44"}}],"schema":"https://github.com/citation-style-language/schema/raw/master/csl-citation.json"} </w:instrText>
      </w:r>
      <w:r w:rsidRPr="00D14382">
        <w:rPr>
          <w:rFonts w:cs="Times New Roman"/>
          <w:szCs w:val="24"/>
        </w:rPr>
        <w:fldChar w:fldCharType="separate"/>
      </w:r>
      <w:r w:rsidRPr="00D14382">
        <w:rPr>
          <w:rFonts w:cs="Times New Roman"/>
          <w:szCs w:val="24"/>
        </w:rPr>
        <w:t xml:space="preserve">Ngugi </w:t>
      </w:r>
      <w:r w:rsidR="000C41F5" w:rsidRPr="000C41F5">
        <w:rPr>
          <w:rFonts w:cs="Times New Roman"/>
          <w:i/>
          <w:iCs/>
          <w:szCs w:val="24"/>
        </w:rPr>
        <w:t>et al</w:t>
      </w:r>
      <w:r w:rsidRPr="00D14382">
        <w:rPr>
          <w:rFonts w:cs="Times New Roman"/>
          <w:szCs w:val="24"/>
        </w:rPr>
        <w:t>. (2015)</w:t>
      </w:r>
      <w:r w:rsidRPr="00D14382">
        <w:rPr>
          <w:rFonts w:cs="Times New Roman"/>
          <w:szCs w:val="24"/>
        </w:rPr>
        <w:fldChar w:fldCharType="end"/>
      </w:r>
      <w:r w:rsidRPr="00D14382">
        <w:rPr>
          <w:rFonts w:cs="Times New Roman"/>
          <w:szCs w:val="24"/>
          <w:lang w:val="en-GB"/>
        </w:rPr>
        <w:t xml:space="preserve">. Untuk menghitung eritrosit, darah yang telah di campur dengan anti-koagulan dilarutkan dengan Dacie’s fluid </w:t>
      </w:r>
      <w:r w:rsidRPr="00D14382">
        <w:rPr>
          <w:rFonts w:cs="Times New Roman"/>
          <w:szCs w:val="24"/>
        </w:rPr>
        <w:t>(1 mL formaldehyde, 3</w:t>
      </w:r>
      <w:r w:rsidR="005F24D7" w:rsidRPr="00D14382">
        <w:rPr>
          <w:rFonts w:cs="Times New Roman"/>
          <w:szCs w:val="24"/>
          <w:lang w:val="en-GB"/>
        </w:rPr>
        <w:t>g</w:t>
      </w:r>
      <w:r w:rsidRPr="00D14382">
        <w:rPr>
          <w:rFonts w:cs="Times New Roman"/>
          <w:szCs w:val="24"/>
        </w:rPr>
        <w:t xml:space="preserve"> trisodium citrate, </w:t>
      </w:r>
      <w:r w:rsidR="005F24D7" w:rsidRPr="00D14382">
        <w:rPr>
          <w:rFonts w:cs="Times New Roman"/>
          <w:szCs w:val="24"/>
          <w:lang w:val="en-GB"/>
        </w:rPr>
        <w:t>99</w:t>
      </w:r>
      <w:r w:rsidRPr="00D14382">
        <w:rPr>
          <w:rFonts w:cs="Times New Roman"/>
          <w:szCs w:val="24"/>
        </w:rPr>
        <w:t xml:space="preserve"> m</w:t>
      </w:r>
      <w:r w:rsidR="005F24D7" w:rsidRPr="00D14382">
        <w:rPr>
          <w:rFonts w:cs="Times New Roman"/>
          <w:szCs w:val="24"/>
          <w:lang w:val="en-GB"/>
        </w:rPr>
        <w:t xml:space="preserve">L </w:t>
      </w:r>
      <w:r w:rsidR="006D25F3" w:rsidRPr="00D14382">
        <w:rPr>
          <w:rFonts w:cs="Times New Roman"/>
          <w:szCs w:val="24"/>
          <w:lang w:val="en-GB"/>
        </w:rPr>
        <w:t>akuades</w:t>
      </w:r>
      <w:r w:rsidRPr="00D14382">
        <w:rPr>
          <w:rFonts w:cs="Times New Roman"/>
          <w:szCs w:val="24"/>
        </w:rPr>
        <w:t>)</w:t>
      </w:r>
      <w:r w:rsidRPr="00D14382">
        <w:rPr>
          <w:rFonts w:cs="Times New Roman"/>
          <w:szCs w:val="24"/>
          <w:lang w:val="en-GB"/>
        </w:rPr>
        <w:t>. Sedangkan untuk menghitung leukosit darah yang telah di campur dengan anti-koagulan dilarutkan dengan Turk’s Fluid (</w:t>
      </w:r>
      <w:r w:rsidR="005F24D7" w:rsidRPr="00D14382">
        <w:rPr>
          <w:rFonts w:cs="Times New Roman"/>
          <w:szCs w:val="24"/>
          <w:lang w:val="en-GB"/>
        </w:rPr>
        <w:t xml:space="preserve">1 mL crystal violet, 0.5 mL </w:t>
      </w:r>
      <w:r w:rsidR="006D25F3" w:rsidRPr="00D14382">
        <w:rPr>
          <w:rFonts w:cs="Times New Roman"/>
          <w:szCs w:val="24"/>
          <w:lang w:val="en-GB"/>
        </w:rPr>
        <w:t>asam asetat glasial, 100 mL akuades). Sampel kemudian di teteskan pada hemocytometer dan di hitung dibawah mikroskop. Perhitungan eritrosit dan leukosit mengikuti rumus;</w:t>
      </w:r>
    </w:p>
    <w:p w14:paraId="1849ADEA" w14:textId="44B5B7AB" w:rsidR="006D25F3" w:rsidRPr="00D14382" w:rsidRDefault="00D14382" w:rsidP="000004FB">
      <w:pPr>
        <w:pStyle w:val="Paragraf"/>
        <w:spacing w:after="0" w:line="480" w:lineRule="auto"/>
        <w:jc w:val="both"/>
        <w:rPr>
          <w:rFonts w:cs="Times New Roman"/>
          <w:iCs/>
          <w:color w:val="000000"/>
          <w:szCs w:val="24"/>
        </w:rPr>
      </w:pPr>
      <m:oMathPara>
        <m:oMathParaPr>
          <m:jc m:val="center"/>
        </m:oMathParaPr>
        <m:oMath>
          <m:r>
            <m:rPr>
              <m:nor/>
            </m:rPr>
            <w:rPr>
              <w:iCs/>
              <w:color w:val="000000"/>
              <w:szCs w:val="24"/>
            </w:rPr>
            <m:t>Eritrosit</m:t>
          </m:r>
          <m:r>
            <m:rPr>
              <m:nor/>
            </m:rPr>
            <w:rPr>
              <w:rFonts w:ascii="Cambria Math"/>
              <w:iCs/>
              <w:color w:val="000000"/>
              <w:szCs w:val="24"/>
            </w:rPr>
            <m:t xml:space="preserve"> </m:t>
          </m:r>
          <m:r>
            <m:rPr>
              <m:nor/>
            </m:rPr>
            <w:rPr>
              <w:iCs/>
              <w:color w:val="000000"/>
              <w:szCs w:val="24"/>
            </w:rPr>
            <m:t>=</m:t>
          </m:r>
          <m:r>
            <m:rPr>
              <m:nor/>
            </m:rPr>
            <w:rPr>
              <w:rFonts w:ascii="Cambria Math"/>
              <w:iCs/>
              <w:color w:val="000000"/>
              <w:szCs w:val="24"/>
            </w:rPr>
            <m:t xml:space="preserve"> </m:t>
          </m:r>
          <m:f>
            <m:fPr>
              <m:ctrlPr>
                <w:rPr>
                  <w:rFonts w:ascii="Cambria Math" w:eastAsia="Times New Roman" w:hAnsi="Cambria Math"/>
                  <w:i/>
                  <w:iCs/>
                  <w:color w:val="000000"/>
                  <w:szCs w:val="24"/>
                </w:rPr>
              </m:ctrlPr>
            </m:fPr>
            <m:num>
              <m:r>
                <m:rPr>
                  <m:nor/>
                </m:rPr>
                <w:rPr>
                  <w:iCs/>
                  <w:color w:val="000000"/>
                  <w:szCs w:val="24"/>
                </w:rPr>
                <m:t>Jumlah sel x Pengenceran</m:t>
              </m:r>
            </m:num>
            <m:den>
              <m:r>
                <m:rPr>
                  <m:nor/>
                </m:rPr>
                <w:rPr>
                  <w:iCs/>
                  <w:color w:val="000000"/>
                  <w:szCs w:val="24"/>
                </w:rPr>
                <m:t>0.02</m:t>
              </m:r>
            </m:den>
          </m:f>
        </m:oMath>
      </m:oMathPara>
    </w:p>
    <w:p w14:paraId="5DA19DC8" w14:textId="77777777" w:rsidR="006D25F3" w:rsidRPr="00D14382" w:rsidRDefault="006D25F3" w:rsidP="000004FB">
      <w:pPr>
        <w:pStyle w:val="Paragraf"/>
        <w:spacing w:after="0" w:line="480" w:lineRule="auto"/>
        <w:jc w:val="both"/>
        <w:rPr>
          <w:rFonts w:cs="Times New Roman"/>
          <w:iCs/>
          <w:color w:val="000000"/>
          <w:szCs w:val="24"/>
        </w:rPr>
      </w:pPr>
    </w:p>
    <w:p w14:paraId="1C2EEF34" w14:textId="31037729" w:rsidR="006D25F3" w:rsidRPr="00D14382" w:rsidRDefault="00D14382" w:rsidP="000004FB">
      <w:pPr>
        <w:pStyle w:val="Paragraf"/>
        <w:spacing w:after="0" w:line="480" w:lineRule="auto"/>
        <w:jc w:val="center"/>
        <w:rPr>
          <w:rFonts w:cs="Times New Roman"/>
          <w:szCs w:val="24"/>
          <w:lang w:val="en-GB"/>
        </w:rPr>
      </w:pPr>
      <m:oMathPara>
        <m:oMathParaPr>
          <m:jc m:val="center"/>
        </m:oMathParaPr>
        <m:oMath>
          <m:r>
            <m:rPr>
              <m:nor/>
            </m:rPr>
            <w:rPr>
              <w:color w:val="000000"/>
              <w:szCs w:val="24"/>
            </w:rPr>
            <m:t xml:space="preserve">Leukosit </m:t>
          </m:r>
          <m:r>
            <m:rPr>
              <m:nor/>
            </m:rPr>
            <w:rPr>
              <w:iCs/>
              <w:color w:val="000000"/>
              <w:szCs w:val="24"/>
            </w:rPr>
            <m:t>=</m:t>
          </m:r>
          <m:f>
            <m:fPr>
              <m:ctrlPr>
                <w:rPr>
                  <w:rFonts w:ascii="Cambria Math" w:eastAsia="Times New Roman" w:hAnsi="Cambria Math"/>
                  <w:i/>
                  <w:iCs/>
                  <w:color w:val="000000"/>
                  <w:szCs w:val="24"/>
                </w:rPr>
              </m:ctrlPr>
            </m:fPr>
            <m:num>
              <m:r>
                <m:rPr>
                  <m:nor/>
                </m:rPr>
                <w:rPr>
                  <w:iCs/>
                  <w:color w:val="000000"/>
                  <w:szCs w:val="24"/>
                </w:rPr>
                <m:t>jumlah sel x pengenceran</m:t>
              </m:r>
            </m:num>
            <m:den>
              <m:r>
                <m:rPr>
                  <m:nor/>
                </m:rPr>
                <w:rPr>
                  <w:iCs/>
                  <w:color w:val="000000"/>
                  <w:szCs w:val="24"/>
                </w:rPr>
                <m:t>volume kamar hitung (</m:t>
              </m:r>
              <m:f>
                <m:fPr>
                  <m:ctrlPr>
                    <w:rPr>
                      <w:rFonts w:ascii="Cambria Math" w:eastAsia="Times New Roman" w:hAnsi="Cambria Math"/>
                      <w:i/>
                      <w:iCs/>
                      <w:color w:val="000000"/>
                      <w:szCs w:val="24"/>
                    </w:rPr>
                  </m:ctrlPr>
                </m:fPr>
                <m:num>
                  <m:r>
                    <m:rPr>
                      <m:nor/>
                    </m:rPr>
                    <w:rPr>
                      <w:iCs/>
                      <w:color w:val="000000"/>
                      <w:szCs w:val="24"/>
                    </w:rPr>
                    <m:t>4</m:t>
                  </m:r>
                </m:num>
                <m:den>
                  <m:r>
                    <m:rPr>
                      <m:nor/>
                    </m:rPr>
                    <w:rPr>
                      <w:iCs/>
                      <w:color w:val="000000"/>
                      <w:szCs w:val="24"/>
                    </w:rPr>
                    <m:t>10</m:t>
                  </m:r>
                </m:den>
              </m:f>
              <m:r>
                <m:rPr>
                  <m:nor/>
                </m:rPr>
                <w:rPr>
                  <w:iCs/>
                  <w:color w:val="000000"/>
                  <w:szCs w:val="24"/>
                </w:rPr>
                <m:t>)</m:t>
              </m:r>
            </m:den>
          </m:f>
        </m:oMath>
      </m:oMathPara>
    </w:p>
    <w:p w14:paraId="4F9B66CC" w14:textId="77777777" w:rsidR="006D25F3" w:rsidRPr="00D14382" w:rsidRDefault="006D25F3" w:rsidP="000004FB">
      <w:pPr>
        <w:pStyle w:val="Paragraf"/>
        <w:spacing w:after="0" w:line="480" w:lineRule="auto"/>
        <w:jc w:val="both"/>
        <w:rPr>
          <w:rFonts w:cs="Times New Roman"/>
          <w:szCs w:val="24"/>
          <w:lang w:val="en-GB"/>
        </w:rPr>
      </w:pPr>
      <w:r w:rsidRPr="00D14382">
        <w:rPr>
          <w:rFonts w:cs="Times New Roman"/>
          <w:szCs w:val="24"/>
          <w:lang w:val="en-GB"/>
        </w:rPr>
        <w:t>Respon imun</w:t>
      </w:r>
    </w:p>
    <w:p w14:paraId="17C36FD6" w14:textId="5E558718" w:rsidR="006D25F3" w:rsidRPr="00D14382" w:rsidRDefault="000004FB" w:rsidP="000004FB">
      <w:pPr>
        <w:pStyle w:val="Paragraf"/>
        <w:spacing w:after="0" w:line="480" w:lineRule="auto"/>
        <w:ind w:firstLine="567"/>
        <w:jc w:val="both"/>
        <w:rPr>
          <w:rFonts w:cs="Times New Roman"/>
          <w:szCs w:val="24"/>
          <w:lang w:val="en-GB"/>
        </w:rPr>
      </w:pPr>
      <w:r>
        <w:rPr>
          <w:rFonts w:cs="Times New Roman"/>
          <w:szCs w:val="24"/>
          <w:lang w:val="en-GB"/>
        </w:rPr>
        <w:t>R</w:t>
      </w:r>
      <w:r w:rsidR="006D25F3" w:rsidRPr="00D14382">
        <w:rPr>
          <w:rFonts w:cs="Times New Roman"/>
          <w:szCs w:val="24"/>
          <w:lang w:val="en-GB"/>
        </w:rPr>
        <w:t xml:space="preserve">espon imun yang diukur adalah aktifitas lisosim dan NBT, aktifitas lisosim diukur </w:t>
      </w:r>
      <w:r w:rsidR="00C36414" w:rsidRPr="00D14382">
        <w:rPr>
          <w:rFonts w:cs="Times New Roman"/>
          <w:szCs w:val="24"/>
          <w:lang w:val="en-GB"/>
        </w:rPr>
        <w:t xml:space="preserve">menggunakan metode </w:t>
      </w:r>
      <w:r w:rsidR="00C36414" w:rsidRPr="00D14382">
        <w:rPr>
          <w:rFonts w:cs="Times New Roman"/>
          <w:szCs w:val="24"/>
          <w:lang w:val="en-GB"/>
        </w:rPr>
        <w:fldChar w:fldCharType="begin"/>
      </w:r>
      <w:r w:rsidR="000C41F5">
        <w:rPr>
          <w:rFonts w:cs="Times New Roman"/>
          <w:szCs w:val="24"/>
          <w:lang w:val="en-GB"/>
        </w:rPr>
        <w:instrText xml:space="preserve"> ADDIN ZOTERO_ITEM CSL_CITATION {"citationID":"GklcewRG","properties":{"formattedCitation":"(Ellis 1990)","plainCitation":"(Ellis 1990)","dontUpdate":true,"noteIndex":0},"citationItems":[{"id":3715,"uris":["http://zotero.org/users/5375416/items/AKV3ADC5"],"uri":["http://zotero.org/users/5375416/items/AKV3ADC5"],"itemData":{"id":3715,"type":"chapter","container-title":"Techniques in Fish Immunology: Fitc 1","event-place":"California","ISBN":"0-9625505-0-7","page":"101-103","publisher":"Sos Publications","publisher-place":"California","title":"Lysozyme Assay","URL":"https://books.google.co.id/books?id=yHIWAQAAIAAJ","author":[{"family":"Ellis","given":"A. E"}],"editor":[{"family":"Stolen","given":"J. S."}],"issued":{"date-parts":[["1990"]]}}}],"schema":"https://github.com/citation-style-language/schema/raw/master/csl-citation.json"} </w:instrText>
      </w:r>
      <w:r w:rsidR="00C36414" w:rsidRPr="00D14382">
        <w:rPr>
          <w:rFonts w:cs="Times New Roman"/>
          <w:szCs w:val="24"/>
          <w:lang w:val="en-GB"/>
        </w:rPr>
        <w:fldChar w:fldCharType="separate"/>
      </w:r>
      <w:r w:rsidR="00C36414" w:rsidRPr="00D14382">
        <w:rPr>
          <w:rFonts w:cs="Times New Roman"/>
          <w:szCs w:val="24"/>
        </w:rPr>
        <w:t xml:space="preserve">Ellis </w:t>
      </w:r>
      <w:r w:rsidR="00C36414" w:rsidRPr="00D14382">
        <w:rPr>
          <w:rFonts w:cs="Times New Roman"/>
          <w:szCs w:val="24"/>
          <w:lang w:val="en-GB"/>
        </w:rPr>
        <w:t>(</w:t>
      </w:r>
      <w:r w:rsidR="00C36414" w:rsidRPr="00D14382">
        <w:rPr>
          <w:rFonts w:cs="Times New Roman"/>
          <w:szCs w:val="24"/>
        </w:rPr>
        <w:t>1990)</w:t>
      </w:r>
      <w:r w:rsidR="00C36414" w:rsidRPr="00D14382">
        <w:rPr>
          <w:rFonts w:cs="Times New Roman"/>
          <w:szCs w:val="24"/>
          <w:lang w:val="en-GB"/>
        </w:rPr>
        <w:fldChar w:fldCharType="end"/>
      </w:r>
      <w:r w:rsidR="00C36414" w:rsidRPr="00D14382">
        <w:rPr>
          <w:rFonts w:cs="Times New Roman"/>
          <w:szCs w:val="24"/>
          <w:lang w:val="en-GB"/>
        </w:rPr>
        <w:t xml:space="preserve">. Sebanyak 10 </w:t>
      </w:r>
      <w:r w:rsidR="00C36414" w:rsidRPr="00D14382">
        <w:rPr>
          <w:rFonts w:cs="Times New Roman"/>
          <w:szCs w:val="24"/>
          <w:lang w:val="en-GB"/>
        </w:rPr>
        <w:sym w:font="Symbol" w:char="F06D"/>
      </w:r>
      <w:r w:rsidR="00C36414" w:rsidRPr="00D14382">
        <w:rPr>
          <w:rFonts w:cs="Times New Roman"/>
          <w:szCs w:val="24"/>
          <w:lang w:val="en-GB"/>
        </w:rPr>
        <w:t xml:space="preserve">L serum di inkubasi dalam 190 </w:t>
      </w:r>
      <w:r w:rsidR="00C36414" w:rsidRPr="00D14382">
        <w:rPr>
          <w:rFonts w:cs="Times New Roman"/>
          <w:szCs w:val="24"/>
          <w:lang w:val="en-GB"/>
        </w:rPr>
        <w:sym w:font="Symbol" w:char="F06D"/>
      </w:r>
      <w:r w:rsidR="00C36414" w:rsidRPr="00D14382">
        <w:rPr>
          <w:rFonts w:cs="Times New Roman"/>
          <w:szCs w:val="24"/>
          <w:lang w:val="en-GB"/>
        </w:rPr>
        <w:t xml:space="preserve">L suspensi </w:t>
      </w:r>
      <w:r w:rsidR="00C36414" w:rsidRPr="00D14382">
        <w:rPr>
          <w:rFonts w:cs="Times New Roman"/>
          <w:i/>
          <w:iCs/>
          <w:szCs w:val="24"/>
          <w:lang w:val="en-GB"/>
        </w:rPr>
        <w:t xml:space="preserve">Micrococcus lysodeikticus </w:t>
      </w:r>
      <w:r w:rsidR="00C36414" w:rsidRPr="00D14382">
        <w:rPr>
          <w:rFonts w:cs="Times New Roman"/>
          <w:szCs w:val="24"/>
          <w:lang w:val="en-GB"/>
        </w:rPr>
        <w:t>(0.05 M Na</w:t>
      </w:r>
      <w:r w:rsidR="00C36414" w:rsidRPr="00D14382">
        <w:rPr>
          <w:rFonts w:cs="Times New Roman"/>
          <w:szCs w:val="24"/>
          <w:vertAlign w:val="subscript"/>
          <w:lang w:val="en-GB"/>
        </w:rPr>
        <w:t>2</w:t>
      </w:r>
      <w:r w:rsidR="00C36414" w:rsidRPr="00D14382">
        <w:rPr>
          <w:rFonts w:cs="Times New Roman"/>
          <w:szCs w:val="24"/>
          <w:lang w:val="en-GB"/>
        </w:rPr>
        <w:t>H</w:t>
      </w:r>
      <w:r w:rsidR="00C36414" w:rsidRPr="00D14382">
        <w:rPr>
          <w:rFonts w:cs="Times New Roman"/>
          <w:szCs w:val="24"/>
          <w:vertAlign w:val="subscript"/>
          <w:lang w:val="en-GB"/>
        </w:rPr>
        <w:t>2</w:t>
      </w:r>
      <w:r w:rsidR="00C36414" w:rsidRPr="00D14382">
        <w:rPr>
          <w:rFonts w:cs="Times New Roman"/>
          <w:szCs w:val="24"/>
          <w:lang w:val="en-GB"/>
        </w:rPr>
        <w:t>PO</w:t>
      </w:r>
      <w:r w:rsidR="00C36414" w:rsidRPr="00D14382">
        <w:rPr>
          <w:rFonts w:cs="Times New Roman"/>
          <w:szCs w:val="24"/>
          <w:vertAlign w:val="subscript"/>
          <w:lang w:val="en-GB"/>
        </w:rPr>
        <w:t>4</w:t>
      </w:r>
      <w:r w:rsidR="00C36414" w:rsidRPr="00D14382">
        <w:rPr>
          <w:rFonts w:cs="Times New Roman"/>
          <w:szCs w:val="24"/>
          <w:lang w:val="en-GB"/>
        </w:rPr>
        <w:t xml:space="preserve"> dalam akuades steril), sample dibaca sesaat penambahan suspensi dan 5 menit setelah inkubasi pada suhu 24</w:t>
      </w:r>
      <w:r w:rsidR="00C36414" w:rsidRPr="00D14382">
        <w:rPr>
          <w:rFonts w:cs="Times New Roman"/>
          <w:szCs w:val="24"/>
          <w:lang w:val="en-GB"/>
        </w:rPr>
        <w:sym w:font="Symbol" w:char="F0B0"/>
      </w:r>
      <w:r w:rsidR="00C36414" w:rsidRPr="00D14382">
        <w:rPr>
          <w:rFonts w:cs="Times New Roman"/>
          <w:szCs w:val="24"/>
          <w:lang w:val="en-GB"/>
        </w:rPr>
        <w:t xml:space="preserve">C dengan Panjang gelombang 530 nm. </w:t>
      </w:r>
    </w:p>
    <w:p w14:paraId="3FA62269" w14:textId="678C6D48" w:rsidR="00C36414" w:rsidRPr="00D14382" w:rsidRDefault="00C36414" w:rsidP="000004FB">
      <w:pPr>
        <w:pStyle w:val="Paragraf"/>
        <w:spacing w:after="0" w:line="480" w:lineRule="auto"/>
        <w:ind w:firstLine="567"/>
        <w:jc w:val="both"/>
        <w:rPr>
          <w:rFonts w:cs="Times New Roman"/>
          <w:szCs w:val="24"/>
          <w:lang w:val="en-GB"/>
        </w:rPr>
      </w:pPr>
      <w:r w:rsidRPr="00D14382">
        <w:rPr>
          <w:rFonts w:cs="Times New Roman"/>
          <w:szCs w:val="24"/>
          <w:lang w:val="en-GB"/>
        </w:rPr>
        <w:t xml:space="preserve">Nitoblue tetrazolium (NBT) diukur menggunakan metode </w:t>
      </w:r>
      <w:r w:rsidRPr="00D14382">
        <w:rPr>
          <w:rFonts w:cs="Times New Roman"/>
          <w:szCs w:val="24"/>
        </w:rPr>
        <w:fldChar w:fldCharType="begin" w:fldLock="1"/>
      </w:r>
      <w:r w:rsidR="007D363A">
        <w:rPr>
          <w:rFonts w:cs="Times New Roman"/>
          <w:szCs w:val="24"/>
        </w:rPr>
        <w:instrText xml:space="preserve"> ADDIN ZOTERO_ITEM CSL_CITATION {"citationID":"dkqEvFSu","properties":{"formattedCitation":"(Kumar {\\i{}et al.}, 2008)","plainCitation":"(Kumar et al., 2008)","dontUpdate":true,"noteIndex":0},"citationItems":[{"id":"fRIXYPfn/q5pYkzed","uris":["http://www.mendeley.com/documents/?uuid=27a9c259-8a84-4e2c-8d82-18d1c4106cb6"],"uri":["http://www.mendeley.com/documents/?uuid=27a9c259-8a84-4e2c-8d82-18d1c4106cb6"],"itemData":{"DOI":"10.1016/j.fsi.2007.10.008","author":[{"dropping-particle":"","family":"Kumar","given":"Rajesh","non-dropping-particle":"","parse-names":false,"suffix":""},{"dropping-particle":"","family":"Mukherjee","given":"S. C","non-dropping-particle":"","parse-names":false,"suffix":""},{"dropping-particle":"","family":"Ranjan","given":"Ritesh","non-dropping-particle":"","parse-names":false,"suffix":""},{"dropping-particle":"","family":"Nayak","given":"S. K","non-dropping-particle":"","parse-names":false,"suffix":""}],"container-title":"Fish &amp; shellfish immunology","id":"ITEM-1","issued":{"date-parts":[["2008"]]},"page":"168-172","title":"Enhanced innate immune parameters in Labeo rohita ( Ham .) following oral administration of Bacillus subtilis Enhanced innate immune parameters in Labeo rohita ( Ham .) following oral administration of Bacillus subtilis","type":"article-journal","volume":"24"}}],"schema":"https://github.com/citation-style-language/schema/raw/master/csl-citation.json"} </w:instrText>
      </w:r>
      <w:r w:rsidRPr="00D14382">
        <w:rPr>
          <w:rFonts w:cs="Times New Roman"/>
          <w:szCs w:val="24"/>
        </w:rPr>
        <w:fldChar w:fldCharType="separate"/>
      </w:r>
      <w:r w:rsidRPr="00D14382">
        <w:rPr>
          <w:rFonts w:cs="Times New Roman"/>
          <w:szCs w:val="24"/>
        </w:rPr>
        <w:t xml:space="preserve">Kumar </w:t>
      </w:r>
      <w:r w:rsidR="000C41F5" w:rsidRPr="000C41F5">
        <w:rPr>
          <w:rFonts w:cs="Times New Roman"/>
          <w:i/>
          <w:iCs/>
          <w:szCs w:val="24"/>
        </w:rPr>
        <w:t>et al</w:t>
      </w:r>
      <w:r w:rsidRPr="00D14382">
        <w:rPr>
          <w:rFonts w:cs="Times New Roman"/>
          <w:szCs w:val="24"/>
        </w:rPr>
        <w:t xml:space="preserve">. </w:t>
      </w:r>
      <w:r w:rsidRPr="00D14382">
        <w:rPr>
          <w:rFonts w:cs="Times New Roman"/>
          <w:szCs w:val="24"/>
          <w:lang w:val="en-GB"/>
        </w:rPr>
        <w:t>(</w:t>
      </w:r>
      <w:r w:rsidRPr="00D14382">
        <w:rPr>
          <w:rFonts w:cs="Times New Roman"/>
          <w:szCs w:val="24"/>
        </w:rPr>
        <w:t>2008)</w:t>
      </w:r>
      <w:r w:rsidRPr="00D14382">
        <w:rPr>
          <w:rFonts w:cs="Times New Roman"/>
          <w:szCs w:val="24"/>
        </w:rPr>
        <w:fldChar w:fldCharType="end"/>
      </w:r>
      <w:r w:rsidRPr="00D14382">
        <w:rPr>
          <w:rFonts w:cs="Times New Roman"/>
          <w:szCs w:val="24"/>
        </w:rPr>
        <w:t>.</w:t>
      </w:r>
      <w:r w:rsidRPr="00D14382">
        <w:rPr>
          <w:rFonts w:cs="Times New Roman"/>
          <w:szCs w:val="24"/>
          <w:lang w:val="en-GB"/>
        </w:rPr>
        <w:t xml:space="preserve"> Sebanyak 20 </w:t>
      </w:r>
      <w:r w:rsidRPr="00D14382">
        <w:rPr>
          <w:rFonts w:cs="Times New Roman"/>
          <w:szCs w:val="24"/>
          <w:lang w:val="en-GB"/>
        </w:rPr>
        <w:sym w:font="Symbol" w:char="F06D"/>
      </w:r>
      <w:r w:rsidRPr="00D14382">
        <w:rPr>
          <w:rFonts w:cs="Times New Roman"/>
          <w:szCs w:val="24"/>
          <w:lang w:val="en-GB"/>
        </w:rPr>
        <w:t xml:space="preserve">L darah dimasukkan dalam sumur </w:t>
      </w:r>
      <w:r w:rsidRPr="00D14382">
        <w:rPr>
          <w:rFonts w:cs="Times New Roman"/>
          <w:i/>
          <w:iCs/>
          <w:szCs w:val="24"/>
          <w:lang w:val="en-GB"/>
        </w:rPr>
        <w:t>96-well plate</w:t>
      </w:r>
      <w:r w:rsidRPr="00D14382">
        <w:rPr>
          <w:rFonts w:cs="Times New Roman"/>
          <w:szCs w:val="24"/>
          <w:lang w:val="en-GB"/>
        </w:rPr>
        <w:t xml:space="preserve"> dan di inkubasi selam 1 jam pada suhu 27</w:t>
      </w:r>
      <w:r w:rsidRPr="00D14382">
        <w:rPr>
          <w:rFonts w:cs="Times New Roman"/>
          <w:szCs w:val="24"/>
          <w:lang w:val="en-GB"/>
        </w:rPr>
        <w:sym w:font="Symbol" w:char="F0B0"/>
      </w:r>
      <w:r w:rsidRPr="00D14382">
        <w:rPr>
          <w:rFonts w:cs="Times New Roman"/>
          <w:szCs w:val="24"/>
          <w:lang w:val="en-GB"/>
        </w:rPr>
        <w:t xml:space="preserve">C, sumur dicuci menggunakan </w:t>
      </w:r>
      <w:r w:rsidRPr="00D14382">
        <w:rPr>
          <w:rFonts w:cs="Times New Roman"/>
          <w:i/>
          <w:iCs/>
          <w:szCs w:val="24"/>
          <w:lang w:val="en-GB"/>
        </w:rPr>
        <w:t xml:space="preserve">Phosphate Buffer Saline </w:t>
      </w:r>
      <w:r w:rsidRPr="00D14382">
        <w:rPr>
          <w:rFonts w:cs="Times New Roman"/>
          <w:szCs w:val="24"/>
          <w:lang w:val="en-GB"/>
        </w:rPr>
        <w:t xml:space="preserve">(PBS) dan di tambahkan NBT sebanyak 20 </w:t>
      </w:r>
      <w:r w:rsidRPr="00D14382">
        <w:rPr>
          <w:rFonts w:cs="Times New Roman"/>
          <w:szCs w:val="24"/>
          <w:lang w:val="en-GB"/>
        </w:rPr>
        <w:sym w:font="Symbol" w:char="F06D"/>
      </w:r>
      <w:r w:rsidRPr="00D14382">
        <w:rPr>
          <w:rFonts w:cs="Times New Roman"/>
          <w:szCs w:val="24"/>
          <w:lang w:val="en-GB"/>
        </w:rPr>
        <w:t xml:space="preserve">L dan diinkubasi selama 1 jam. </w:t>
      </w:r>
      <w:r w:rsidR="00DB4B40" w:rsidRPr="00D14382">
        <w:rPr>
          <w:rFonts w:cs="Times New Roman"/>
          <w:szCs w:val="24"/>
          <w:lang w:val="en-GB"/>
        </w:rPr>
        <w:t xml:space="preserve">NBT dibuang dan kedalam sumur dimasukkan fiksatif berupa 95% methanol </w:t>
      </w:r>
      <w:r w:rsidR="00DB4B40" w:rsidRPr="00D14382">
        <w:rPr>
          <w:rFonts w:cs="Times New Roman"/>
          <w:szCs w:val="24"/>
          <w:lang w:val="en-GB"/>
        </w:rPr>
        <w:lastRenderedPageBreak/>
        <w:t xml:space="preserve">selama 3 menit, diikuti 30% menthanol selama 3 menit. kemudian kedalam sumur dimasukkan 70 </w:t>
      </w:r>
      <w:r w:rsidR="00DB4B40" w:rsidRPr="00D14382">
        <w:rPr>
          <w:rFonts w:cs="Times New Roman"/>
          <w:szCs w:val="24"/>
          <w:lang w:val="en-GB"/>
        </w:rPr>
        <w:sym w:font="Symbol" w:char="F06D"/>
      </w:r>
      <w:r w:rsidR="00DB4B40" w:rsidRPr="00D14382">
        <w:rPr>
          <w:rFonts w:cs="Times New Roman"/>
          <w:szCs w:val="24"/>
          <w:lang w:val="en-GB"/>
        </w:rPr>
        <w:t xml:space="preserve">L DMSO dan 60 </w:t>
      </w:r>
      <w:r w:rsidR="00DB4B40" w:rsidRPr="00D14382">
        <w:rPr>
          <w:rFonts w:cs="Times New Roman"/>
          <w:szCs w:val="24"/>
          <w:lang w:val="en-GB"/>
        </w:rPr>
        <w:sym w:font="Symbol" w:char="F06D"/>
      </w:r>
      <w:r w:rsidR="00DB4B40" w:rsidRPr="00D14382">
        <w:rPr>
          <w:rFonts w:cs="Times New Roman"/>
          <w:szCs w:val="24"/>
          <w:lang w:val="en-GB"/>
        </w:rPr>
        <w:t>L KOH (1 M). Sampel dibaca dalaam Panjang gelombang 540 nm</w:t>
      </w:r>
      <w:r w:rsidR="002F3437" w:rsidRPr="00D14382">
        <w:rPr>
          <w:rFonts w:cs="Times New Roman"/>
          <w:szCs w:val="24"/>
          <w:lang w:val="en-GB"/>
        </w:rPr>
        <w:t>.</w:t>
      </w:r>
    </w:p>
    <w:p w14:paraId="2E4F29F9" w14:textId="77777777" w:rsidR="002F3437" w:rsidRPr="00D14382" w:rsidRDefault="002F3437" w:rsidP="000004FB">
      <w:pPr>
        <w:pStyle w:val="Paragraf"/>
        <w:spacing w:after="0" w:line="480" w:lineRule="auto"/>
        <w:jc w:val="both"/>
        <w:rPr>
          <w:rFonts w:cs="Times New Roman"/>
          <w:szCs w:val="24"/>
          <w:lang w:val="en-GB"/>
        </w:rPr>
      </w:pPr>
      <w:r w:rsidRPr="00D14382">
        <w:rPr>
          <w:rFonts w:cs="Times New Roman"/>
          <w:szCs w:val="24"/>
          <w:lang w:val="en-GB"/>
        </w:rPr>
        <w:t>Uji tantang</w:t>
      </w:r>
    </w:p>
    <w:p w14:paraId="2E0A1046" w14:textId="3C765789" w:rsidR="002F3437" w:rsidRPr="00D14382" w:rsidRDefault="002F3437" w:rsidP="000004FB">
      <w:pPr>
        <w:pStyle w:val="Paragraf"/>
        <w:spacing w:after="0" w:line="480" w:lineRule="auto"/>
        <w:ind w:firstLine="567"/>
        <w:jc w:val="both"/>
        <w:rPr>
          <w:rFonts w:cs="Times New Roman"/>
          <w:szCs w:val="24"/>
          <w:lang w:val="en-GB"/>
        </w:rPr>
      </w:pPr>
      <w:r w:rsidRPr="00D14382">
        <w:rPr>
          <w:rFonts w:cs="Times New Roman"/>
          <w:szCs w:val="24"/>
          <w:lang w:val="en-GB"/>
        </w:rPr>
        <w:t xml:space="preserve">Untuk uji tantang </w:t>
      </w:r>
      <w:r w:rsidRPr="00D14382">
        <w:rPr>
          <w:rFonts w:cs="Times New Roman"/>
          <w:i/>
          <w:iCs/>
          <w:szCs w:val="24"/>
          <w:lang w:val="en-GB"/>
        </w:rPr>
        <w:t xml:space="preserve">S. agalactiae </w:t>
      </w:r>
      <w:r w:rsidRPr="00D14382">
        <w:rPr>
          <w:rFonts w:cs="Times New Roman"/>
          <w:szCs w:val="24"/>
          <w:lang w:val="en-GB"/>
        </w:rPr>
        <w:t>di tumbuhkan dalam media Triptic Soya Broth (TSB, Oxoid) selama 48 jam pada suhu 30</w:t>
      </w:r>
      <w:r w:rsidRPr="00D14382">
        <w:rPr>
          <w:rFonts w:cs="Times New Roman"/>
          <w:szCs w:val="24"/>
          <w:lang w:val="en-GB"/>
        </w:rPr>
        <w:sym w:font="Symbol" w:char="F0B0"/>
      </w:r>
      <w:r w:rsidRPr="00D14382">
        <w:rPr>
          <w:rFonts w:cs="Times New Roman"/>
          <w:szCs w:val="24"/>
          <w:lang w:val="en-GB"/>
        </w:rPr>
        <w:t>C. Kemudian bakteri di encerkan dalam PBS hingga mencapai kepadatan 10</w:t>
      </w:r>
      <w:r w:rsidRPr="00D14382">
        <w:rPr>
          <w:rFonts w:cs="Times New Roman"/>
          <w:szCs w:val="24"/>
          <w:vertAlign w:val="superscript"/>
          <w:lang w:val="en-GB"/>
        </w:rPr>
        <w:t>5</w:t>
      </w:r>
      <w:r w:rsidRPr="00D14382">
        <w:rPr>
          <w:rFonts w:cs="Times New Roman"/>
          <w:szCs w:val="24"/>
          <w:lang w:val="en-GB"/>
        </w:rPr>
        <w:t xml:space="preserve"> CFU mL</w:t>
      </w:r>
      <w:r w:rsidRPr="00D14382">
        <w:rPr>
          <w:rFonts w:cs="Times New Roman"/>
          <w:szCs w:val="24"/>
          <w:vertAlign w:val="superscript"/>
          <w:lang w:val="en-GB"/>
        </w:rPr>
        <w:t>-1</w:t>
      </w:r>
      <w:r w:rsidRPr="00D14382">
        <w:rPr>
          <w:rFonts w:cs="Times New Roman"/>
          <w:szCs w:val="24"/>
          <w:lang w:val="en-GB"/>
        </w:rPr>
        <w:t xml:space="preserve">. Sebanyak 100 </w:t>
      </w:r>
      <w:r w:rsidRPr="00D14382">
        <w:rPr>
          <w:rFonts w:cs="Times New Roman"/>
          <w:szCs w:val="24"/>
          <w:lang w:val="en-GB"/>
        </w:rPr>
        <w:sym w:font="Symbol" w:char="F06D"/>
      </w:r>
      <w:r w:rsidRPr="00D14382">
        <w:rPr>
          <w:rFonts w:cs="Times New Roman"/>
          <w:szCs w:val="24"/>
          <w:lang w:val="en-GB"/>
        </w:rPr>
        <w:t xml:space="preserve">L bakteri yang telah diencerkan di ijeksikan secara intramuscular pada saat ahir pemeliharaan. Sintasan dan Relative Percent Survival (RPS) dihitung sebagai berikut; </w:t>
      </w:r>
    </w:p>
    <w:p w14:paraId="684D0C1F" w14:textId="5F8BCCCC" w:rsidR="002F3437" w:rsidRPr="00D14382" w:rsidRDefault="00D14382" w:rsidP="000004FB">
      <w:pPr>
        <w:spacing w:line="480" w:lineRule="auto"/>
        <w:jc w:val="center"/>
        <w:rPr>
          <w:rFonts w:ascii="Times New Roman" w:hAnsi="Times New Roman"/>
          <w:sz w:val="24"/>
          <w:szCs w:val="24"/>
          <w:lang w:eastAsia="id-ID"/>
        </w:rPr>
      </w:pPr>
      <m:oMathPara>
        <m:oMath>
          <m:r>
            <m:rPr>
              <m:nor/>
            </m:rPr>
            <w:rPr>
              <w:rFonts w:ascii="Times New Roman" w:hAnsi="Times New Roman"/>
              <w:sz w:val="24"/>
              <w:szCs w:val="24"/>
              <w:lang w:eastAsia="id-ID"/>
            </w:rPr>
            <m:t>Sintasan (%)=</m:t>
          </m:r>
          <m:f>
            <m:fPr>
              <m:ctrlPr>
                <w:rPr>
                  <w:rFonts w:ascii="Cambria Math" w:hAnsi="Cambria Math"/>
                  <w:sz w:val="24"/>
                  <w:szCs w:val="24"/>
                  <w:lang w:eastAsia="id-ID"/>
                </w:rPr>
              </m:ctrlPr>
            </m:fPr>
            <m:num>
              <m:r>
                <m:rPr>
                  <m:nor/>
                </m:rPr>
                <w:rPr>
                  <w:rFonts w:ascii="Times New Roman" w:hAnsi="Times New Roman"/>
                  <w:sz w:val="24"/>
                  <w:szCs w:val="24"/>
                  <w:lang w:eastAsia="id-ID"/>
                </w:rPr>
                <m:t>fish su</m:t>
              </m:r>
              <m:r>
                <m:rPr>
                  <m:nor/>
                </m:rPr>
                <w:rPr>
                  <w:rFonts w:ascii="Times New Roman" w:hAnsi="Times New Roman"/>
                  <w:sz w:val="24"/>
                  <w:szCs w:val="24"/>
                  <w:lang w:val="id-ID" w:eastAsia="id-ID"/>
                </w:rPr>
                <m:t>r</m:t>
              </m:r>
              <m:r>
                <m:rPr>
                  <m:nor/>
                </m:rPr>
                <w:rPr>
                  <w:rFonts w:ascii="Times New Roman" w:hAnsi="Times New Roman"/>
                  <w:sz w:val="24"/>
                  <w:szCs w:val="24"/>
                  <w:lang w:eastAsia="id-ID"/>
                </w:rPr>
                <m:t xml:space="preserve">viving number at the end of experiment </m:t>
              </m:r>
            </m:num>
            <m:den>
              <m:r>
                <m:rPr>
                  <m:nor/>
                </m:rPr>
                <w:rPr>
                  <w:rFonts w:ascii="Times New Roman" w:hAnsi="Times New Roman"/>
                  <w:sz w:val="24"/>
                  <w:szCs w:val="24"/>
                  <w:lang w:eastAsia="id-ID"/>
                </w:rPr>
                <m:t>fish number at the beginning of experiment</m:t>
              </m:r>
            </m:den>
          </m:f>
          <m:r>
            <m:rPr>
              <m:nor/>
            </m:rPr>
            <w:rPr>
              <w:rFonts w:ascii="Times New Roman" w:hAnsi="Times New Roman"/>
              <w:sz w:val="24"/>
              <w:szCs w:val="24"/>
              <w:lang w:eastAsia="id-ID"/>
            </w:rPr>
            <m:t xml:space="preserve"> x 100</m:t>
          </m:r>
        </m:oMath>
      </m:oMathPara>
    </w:p>
    <w:p w14:paraId="6ED6FAB8" w14:textId="1A0F5ADE" w:rsidR="002F3437" w:rsidRPr="00D14382" w:rsidRDefault="00D14382" w:rsidP="000004FB">
      <w:pPr>
        <w:spacing w:after="0" w:line="480" w:lineRule="auto"/>
        <w:jc w:val="center"/>
        <w:rPr>
          <w:rFonts w:ascii="Times New Roman" w:hAnsi="Times New Roman"/>
          <w:i/>
          <w:sz w:val="24"/>
          <w:szCs w:val="24"/>
          <w:lang w:eastAsia="id-ID"/>
        </w:rPr>
      </w:pPr>
      <m:oMathPara>
        <m:oMath>
          <m:r>
            <m:rPr>
              <m:nor/>
            </m:rPr>
            <w:rPr>
              <w:rFonts w:ascii="Times New Roman" w:hAnsi="Times New Roman"/>
              <w:sz w:val="24"/>
              <w:szCs w:val="24"/>
            </w:rPr>
            <m:t xml:space="preserve">Relative percent survival </m:t>
          </m:r>
          <m:r>
            <m:rPr>
              <m:nor/>
            </m:rPr>
            <w:rPr>
              <w:rFonts w:ascii="Times New Roman" w:hAnsi="Times New Roman"/>
              <w:sz w:val="24"/>
              <w:szCs w:val="24"/>
              <w:lang w:eastAsia="id-ID"/>
            </w:rPr>
            <m:t xml:space="preserve"> (%)</m:t>
          </m:r>
          <m:r>
            <m:rPr>
              <m:nor/>
            </m:rPr>
            <w:rPr>
              <w:rFonts w:ascii="Cambria Math" w:hAnsi="Times New Roman"/>
              <w:sz w:val="24"/>
              <w:szCs w:val="24"/>
              <w:lang w:eastAsia="id-ID"/>
            </w:rPr>
            <m:t xml:space="preserve"> </m:t>
          </m:r>
          <m:r>
            <m:rPr>
              <m:nor/>
            </m:rPr>
            <w:rPr>
              <w:rFonts w:ascii="Times New Roman" w:hAnsi="Times New Roman"/>
              <w:sz w:val="24"/>
              <w:szCs w:val="24"/>
              <w:lang w:eastAsia="id-ID"/>
            </w:rPr>
            <m:t>=</m:t>
          </m:r>
          <m:r>
            <m:rPr>
              <m:nor/>
            </m:rPr>
            <w:rPr>
              <w:rFonts w:ascii="Cambria Math" w:hAnsi="Times New Roman"/>
              <w:sz w:val="24"/>
              <w:szCs w:val="24"/>
              <w:lang w:eastAsia="id-ID"/>
            </w:rPr>
            <m:t xml:space="preserve"> 1-(</m:t>
          </m:r>
          <m:f>
            <m:fPr>
              <m:ctrlPr>
                <w:rPr>
                  <w:rFonts w:ascii="Cambria Math" w:hAnsi="Cambria Math"/>
                  <w:sz w:val="24"/>
                  <w:szCs w:val="24"/>
                  <w:lang w:eastAsia="id-ID"/>
                </w:rPr>
              </m:ctrlPr>
            </m:fPr>
            <m:num>
              <m:r>
                <m:rPr>
                  <m:nor/>
                </m:rPr>
                <w:rPr>
                  <w:rFonts w:ascii="Times New Roman" w:hAnsi="Times New Roman"/>
                  <w:sz w:val="24"/>
                  <w:szCs w:val="24"/>
                </w:rPr>
                <m:t>% of treated group</m:t>
              </m:r>
            </m:num>
            <m:den>
              <m:r>
                <m:rPr>
                  <m:nor/>
                </m:rPr>
                <w:rPr>
                  <w:rFonts w:ascii="Times New Roman" w:hAnsi="Times New Roman"/>
                  <w:sz w:val="24"/>
                  <w:szCs w:val="24"/>
                </w:rPr>
                <m:t>% of control group</m:t>
              </m:r>
            </m:den>
          </m:f>
          <m:r>
            <m:rPr>
              <m:nor/>
            </m:rPr>
            <w:rPr>
              <w:rFonts w:ascii="Cambria Math" w:hAnsi="Times New Roman"/>
              <w:sz w:val="24"/>
              <w:szCs w:val="24"/>
              <w:lang w:eastAsia="id-ID"/>
            </w:rPr>
            <m:t>)</m:t>
          </m:r>
          <m:r>
            <m:rPr>
              <m:nor/>
            </m:rPr>
            <w:rPr>
              <w:rFonts w:ascii="Times New Roman" w:hAnsi="Times New Roman"/>
              <w:sz w:val="24"/>
              <w:szCs w:val="24"/>
              <w:lang w:eastAsia="id-ID"/>
            </w:rPr>
            <m:t xml:space="preserve"> x 100</m:t>
          </m:r>
        </m:oMath>
      </m:oMathPara>
    </w:p>
    <w:p w14:paraId="19C608AE" w14:textId="77777777" w:rsidR="001B13F1" w:rsidRPr="00D14382" w:rsidRDefault="001B13F1" w:rsidP="000004FB">
      <w:pPr>
        <w:spacing w:after="0" w:line="480" w:lineRule="auto"/>
        <w:rPr>
          <w:rFonts w:ascii="Times New Roman" w:hAnsi="Times New Roman"/>
          <w:sz w:val="24"/>
          <w:szCs w:val="24"/>
          <w:lang w:val="id-ID"/>
        </w:rPr>
      </w:pPr>
      <w:r w:rsidRPr="00D14382">
        <w:rPr>
          <w:rFonts w:ascii="Times New Roman" w:hAnsi="Times New Roman"/>
          <w:sz w:val="24"/>
          <w:szCs w:val="24"/>
        </w:rPr>
        <w:t>Hasil</w:t>
      </w:r>
      <w:r w:rsidR="002F3437" w:rsidRPr="00D14382">
        <w:rPr>
          <w:rFonts w:ascii="Times New Roman" w:hAnsi="Times New Roman"/>
          <w:sz w:val="24"/>
          <w:szCs w:val="24"/>
        </w:rPr>
        <w:t xml:space="preserve"> dan pembahasan</w:t>
      </w:r>
    </w:p>
    <w:p w14:paraId="4D15F163" w14:textId="6CDF4E4F" w:rsidR="00CB15C2" w:rsidRPr="00D14382" w:rsidRDefault="00C21644" w:rsidP="000004FB">
      <w:pPr>
        <w:spacing w:after="0" w:line="480" w:lineRule="auto"/>
        <w:ind w:firstLine="567"/>
        <w:jc w:val="both"/>
        <w:rPr>
          <w:rFonts w:ascii="Times New Roman" w:hAnsi="Times New Roman"/>
          <w:sz w:val="24"/>
          <w:szCs w:val="24"/>
        </w:rPr>
      </w:pPr>
      <w:r w:rsidRPr="00D14382">
        <w:rPr>
          <w:rFonts w:ascii="Times New Roman" w:hAnsi="Times New Roman"/>
          <w:sz w:val="24"/>
          <w:szCs w:val="24"/>
        </w:rPr>
        <w:t>Hematokrit merupakan bagian padat dari cairan darah dalam ikan, dengan komposisi terbanyak adalah eritrosit atau sel darah merah. Hasil menunjukkan bahwa penambahan ekstrak tanaman mampu memelihara jumlah padatan</w:t>
      </w:r>
      <w:r w:rsidR="00CB15C2" w:rsidRPr="00D14382">
        <w:rPr>
          <w:rFonts w:ascii="Times New Roman" w:hAnsi="Times New Roman"/>
          <w:sz w:val="24"/>
          <w:szCs w:val="24"/>
        </w:rPr>
        <w:t xml:space="preserve"> (Gambar 1)</w:t>
      </w:r>
      <w:r w:rsidRPr="00D14382">
        <w:rPr>
          <w:rFonts w:ascii="Times New Roman" w:hAnsi="Times New Roman"/>
          <w:sz w:val="24"/>
          <w:szCs w:val="24"/>
        </w:rPr>
        <w:t xml:space="preserve"> sekaligus jumlah </w:t>
      </w:r>
      <w:r w:rsidR="00CB15C2" w:rsidRPr="00D14382">
        <w:rPr>
          <w:rFonts w:ascii="Times New Roman" w:hAnsi="Times New Roman"/>
          <w:sz w:val="24"/>
          <w:szCs w:val="24"/>
        </w:rPr>
        <w:t>eritrosit (Gambar 2)</w:t>
      </w:r>
      <w:r w:rsidRPr="00D14382">
        <w:rPr>
          <w:rFonts w:ascii="Times New Roman" w:hAnsi="Times New Roman"/>
          <w:sz w:val="24"/>
          <w:szCs w:val="24"/>
        </w:rPr>
        <w:t xml:space="preserve"> pada kelompok perlakuan. </w:t>
      </w:r>
    </w:p>
    <w:p w14:paraId="5DDA3EAD" w14:textId="717E99BB" w:rsidR="00CB15C2" w:rsidRPr="00D14382" w:rsidRDefault="00D14382" w:rsidP="000004FB">
      <w:pPr>
        <w:spacing w:after="0" w:line="480" w:lineRule="auto"/>
        <w:ind w:firstLine="709"/>
        <w:jc w:val="both"/>
        <w:rPr>
          <w:rFonts w:ascii="Times New Roman" w:hAnsi="Times New Roman"/>
          <w:sz w:val="24"/>
          <w:szCs w:val="24"/>
        </w:rPr>
      </w:pPr>
      <w:r w:rsidRPr="00D14382">
        <w:rPr>
          <w:rFonts w:ascii="Times New Roman" w:hAnsi="Times New Roman"/>
          <w:noProof/>
          <w:sz w:val="24"/>
          <w:szCs w:val="24"/>
          <w:lang w:val="id-ID" w:eastAsia="id-ID"/>
        </w:rPr>
        <w:lastRenderedPageBreak/>
        <w:drawing>
          <wp:inline distT="0" distB="0" distL="0" distR="0" wp14:anchorId="1A466FF7" wp14:editId="46C793D1">
            <wp:extent cx="4572000" cy="2743200"/>
            <wp:effectExtent l="0" t="0" r="0" b="0"/>
            <wp:docPr id="7"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A35947" w14:textId="77777777" w:rsidR="00CB15C2" w:rsidRPr="00D14382" w:rsidRDefault="00CB15C2" w:rsidP="000004FB">
      <w:pPr>
        <w:spacing w:after="0" w:line="480" w:lineRule="auto"/>
        <w:ind w:left="1701" w:hanging="1701"/>
        <w:jc w:val="both"/>
        <w:rPr>
          <w:rFonts w:ascii="Times New Roman" w:hAnsi="Times New Roman"/>
          <w:i/>
          <w:iCs/>
          <w:sz w:val="24"/>
          <w:szCs w:val="24"/>
        </w:rPr>
      </w:pPr>
      <w:r w:rsidRPr="00D14382">
        <w:rPr>
          <w:rFonts w:ascii="Times New Roman" w:hAnsi="Times New Roman"/>
          <w:sz w:val="24"/>
          <w:szCs w:val="24"/>
        </w:rPr>
        <w:t>Gambar 1. Nilai Hematokrit ikan nila yang menerima perlakuan tanaman kombinasi ekstrak daun sirih dan kipahit sete</w:t>
      </w:r>
      <w:r w:rsidR="001B48F6" w:rsidRPr="00D14382">
        <w:rPr>
          <w:rFonts w:ascii="Times New Roman" w:hAnsi="Times New Roman"/>
          <w:sz w:val="24"/>
          <w:szCs w:val="24"/>
        </w:rPr>
        <w:t>l</w:t>
      </w:r>
      <w:r w:rsidRPr="00D14382">
        <w:rPr>
          <w:rFonts w:ascii="Times New Roman" w:hAnsi="Times New Roman"/>
          <w:sz w:val="24"/>
          <w:szCs w:val="24"/>
        </w:rPr>
        <w:t xml:space="preserve">ah uji tantang dengan bakteri </w:t>
      </w:r>
      <w:r w:rsidRPr="00D14382">
        <w:rPr>
          <w:rFonts w:ascii="Times New Roman" w:hAnsi="Times New Roman"/>
          <w:i/>
          <w:iCs/>
          <w:sz w:val="24"/>
          <w:szCs w:val="24"/>
        </w:rPr>
        <w:t>S. agalactiae</w:t>
      </w:r>
    </w:p>
    <w:p w14:paraId="4DA4B7E2" w14:textId="77777777" w:rsidR="002F4FF0" w:rsidRPr="00D14382" w:rsidRDefault="002F4FF0" w:rsidP="000004FB">
      <w:pPr>
        <w:spacing w:after="0" w:line="480" w:lineRule="auto"/>
        <w:ind w:left="993" w:hanging="993"/>
        <w:jc w:val="both"/>
        <w:rPr>
          <w:rFonts w:ascii="Times New Roman" w:hAnsi="Times New Roman"/>
          <w:sz w:val="24"/>
          <w:szCs w:val="24"/>
        </w:rPr>
      </w:pPr>
      <w:r w:rsidRPr="00D14382">
        <w:rPr>
          <w:rFonts w:ascii="Times New Roman" w:hAnsi="Times New Roman"/>
          <w:sz w:val="24"/>
          <w:szCs w:val="24"/>
        </w:rPr>
        <w:t xml:space="preserve">Figure 1. Hematocrit value of tilapia received a combination of betel and kipahit leaf extract treatment after challenge with </w:t>
      </w:r>
      <w:r w:rsidRPr="00D14382">
        <w:rPr>
          <w:rFonts w:ascii="Times New Roman" w:hAnsi="Times New Roman"/>
          <w:i/>
          <w:iCs/>
          <w:sz w:val="24"/>
          <w:szCs w:val="24"/>
        </w:rPr>
        <w:t>S. agalactiae</w:t>
      </w:r>
      <w:r w:rsidRPr="00D14382">
        <w:rPr>
          <w:rFonts w:ascii="Times New Roman" w:hAnsi="Times New Roman"/>
          <w:sz w:val="24"/>
          <w:szCs w:val="24"/>
        </w:rPr>
        <w:t xml:space="preserve"> </w:t>
      </w:r>
    </w:p>
    <w:p w14:paraId="046BDD1B" w14:textId="61B4A361" w:rsidR="00C21644" w:rsidRPr="00D14382" w:rsidRDefault="00C21644" w:rsidP="000004FB">
      <w:pPr>
        <w:spacing w:after="0" w:line="480" w:lineRule="auto"/>
        <w:ind w:firstLine="567"/>
        <w:jc w:val="both"/>
        <w:rPr>
          <w:rFonts w:ascii="Times New Roman" w:hAnsi="Times New Roman"/>
          <w:sz w:val="24"/>
          <w:szCs w:val="24"/>
        </w:rPr>
      </w:pPr>
      <w:r w:rsidRPr="00D14382">
        <w:rPr>
          <w:rFonts w:ascii="Times New Roman" w:hAnsi="Times New Roman"/>
          <w:sz w:val="24"/>
          <w:szCs w:val="24"/>
        </w:rPr>
        <w:t>Penelitian sebelumnya yang terfokus pada eritrosit manusia menemukan bahwa eritrosit mampu berperan sebagai modulator dari respon imun bawaan</w:t>
      </w:r>
      <w:r w:rsidR="0002177F" w:rsidRPr="00D14382">
        <w:rPr>
          <w:rFonts w:ascii="Times New Roman" w:hAnsi="Times New Roman"/>
          <w:sz w:val="24"/>
          <w:szCs w:val="24"/>
        </w:rPr>
        <w:t xml:space="preserve"> </w:t>
      </w:r>
      <w:r w:rsidR="0002177F" w:rsidRPr="00D14382">
        <w:rPr>
          <w:rFonts w:ascii="Times New Roman" w:hAnsi="Times New Roman"/>
          <w:sz w:val="24"/>
          <w:szCs w:val="24"/>
        </w:rPr>
        <w:fldChar w:fldCharType="begin"/>
      </w:r>
      <w:r w:rsidR="000C41F5">
        <w:rPr>
          <w:rFonts w:ascii="Times New Roman" w:hAnsi="Times New Roman"/>
          <w:sz w:val="24"/>
          <w:szCs w:val="24"/>
        </w:rPr>
        <w:instrText xml:space="preserve"> ADDIN ZOTERO_ITEM CSL_CITATION {"citationID":"euplImrQ","properties":{"formattedCitation":"(Anderson, Brodsky, and Mangalmurti 2018)","plainCitation":"(Anderson, Brodsky, and Mangalmurti 2018)","noteIndex":0},"citationItems":[{"id":5413,"uris":["http://zotero.org/users/5375416/items/V2LZZJVS"],"uri":["http://zotero.org/users/5375416/items/V2LZZJVS"],"itemData":{"id":5413,"type":"article-journal","abstract":"The field of red cell biology is undergoing a quiet revolution. Long assumed to be inert oxygen carriers, red blood cells (RBCs) are emerging as important modulators of the innate immune response. Erythrocytes bind and scavenge chemokines, nucleic acids, and pathogens in circulation. Depending on the conditions of the microenvironment, erythrocytes may either promote immune activation or maintain immune quiescence. We examine erythrocyte immune function through a comparative and evolutionary lens, as this framework may offer perspective into newly recognized roles of human RBCs. Next, we review the known immune roles of human RBCs and discuss their activity in the context of sepsis, where erythrocyte function may prove important to disease pathogenesis. Given the limited success of immunomodulatory therapies in treating inflammatory diseases, we propose that the immunologic function of RBC provides an understudied and potentially rich area of research that may yield novel insights into mechanisms of immune regulation.","container-title":"The Journal of Immunology","DOI":"10.4049/jimmunol.1800565","ISSN":"0022-1767, 1550-6606","issue":"5","journalAbbreviation":"J.I.","language":"en","page":"1343-1351","source":"DOI.org (Crossref)","title":"The Evolving Erythrocyte: Red Blood Cells as Modulators of Innate Immunity","title-short":"The Evolving Erythrocyte","volume":"201","author":[{"family":"Anderson","given":"H. Luke"},{"family":"Brodsky","given":"Igor E."},{"family":"Mangalmurti","given":"Nilam S."}],"issued":{"date-parts":[["2018",9,1]]}}}],"schema":"https://github.com/citation-style-language/schema/raw/master/csl-citation.json"} </w:instrText>
      </w:r>
      <w:r w:rsidR="0002177F" w:rsidRPr="00D14382">
        <w:rPr>
          <w:rFonts w:ascii="Times New Roman" w:hAnsi="Times New Roman"/>
          <w:sz w:val="24"/>
          <w:szCs w:val="24"/>
        </w:rPr>
        <w:fldChar w:fldCharType="separate"/>
      </w:r>
      <w:r w:rsidR="0002177F" w:rsidRPr="00D14382">
        <w:rPr>
          <w:rFonts w:ascii="Times New Roman" w:hAnsi="Times New Roman"/>
          <w:sz w:val="24"/>
          <w:szCs w:val="24"/>
        </w:rPr>
        <w:t>(Anderson, Brodsky, and Mangalmurti 2018)</w:t>
      </w:r>
      <w:r w:rsidR="0002177F" w:rsidRPr="00D14382">
        <w:rPr>
          <w:rFonts w:ascii="Times New Roman" w:hAnsi="Times New Roman"/>
          <w:sz w:val="24"/>
          <w:szCs w:val="24"/>
        </w:rPr>
        <w:fldChar w:fldCharType="end"/>
      </w:r>
      <w:r w:rsidR="0002177F" w:rsidRPr="00D14382">
        <w:rPr>
          <w:rFonts w:ascii="Times New Roman" w:hAnsi="Times New Roman"/>
          <w:sz w:val="24"/>
          <w:szCs w:val="24"/>
        </w:rPr>
        <w:t xml:space="preserve">. Sehingga jumlah sel darah merah yang lebih tinggi pada kelompok perlakuan mengindikasikan bahwa ikan mempunyai sistem pertahanan yang cukup dibandingkan dengan kelompok kontrol. Bakteri </w:t>
      </w:r>
      <w:r w:rsidR="0002177F" w:rsidRPr="00D14382">
        <w:rPr>
          <w:rFonts w:ascii="Times New Roman" w:hAnsi="Times New Roman"/>
          <w:i/>
          <w:iCs/>
          <w:sz w:val="24"/>
          <w:szCs w:val="24"/>
        </w:rPr>
        <w:t xml:space="preserve">S. agalactiae </w:t>
      </w:r>
      <w:r w:rsidR="0002177F" w:rsidRPr="00D14382">
        <w:rPr>
          <w:rFonts w:ascii="Times New Roman" w:hAnsi="Times New Roman"/>
          <w:sz w:val="24"/>
          <w:szCs w:val="24"/>
        </w:rPr>
        <w:t>yang digunakan merupakan bakteri koleksi laboratoriu</w:t>
      </w:r>
      <w:r w:rsidR="00CB15C2" w:rsidRPr="00D14382">
        <w:rPr>
          <w:rFonts w:ascii="Times New Roman" w:hAnsi="Times New Roman"/>
          <w:sz w:val="24"/>
          <w:szCs w:val="24"/>
        </w:rPr>
        <w:t>m</w:t>
      </w:r>
      <w:r w:rsidR="0002177F" w:rsidRPr="00D14382">
        <w:rPr>
          <w:rFonts w:ascii="Times New Roman" w:hAnsi="Times New Roman"/>
          <w:sz w:val="24"/>
          <w:szCs w:val="24"/>
        </w:rPr>
        <w:t xml:space="preserve"> kesehatan ikan yang telah di amati, bakteri ini merupakan bakteri </w:t>
      </w:r>
      <w:r w:rsidR="0002177F" w:rsidRPr="00D14382">
        <w:rPr>
          <w:rFonts w:ascii="Times New Roman" w:hAnsi="Times New Roman"/>
          <w:i/>
          <w:iCs/>
          <w:sz w:val="24"/>
          <w:szCs w:val="24"/>
        </w:rPr>
        <w:t xml:space="preserve">Streptococcus </w:t>
      </w:r>
      <w:r w:rsidR="0002177F" w:rsidRPr="00D14382">
        <w:rPr>
          <w:rFonts w:ascii="Times New Roman" w:hAnsi="Times New Roman"/>
          <w:sz w:val="24"/>
          <w:szCs w:val="24"/>
        </w:rPr>
        <w:t xml:space="preserve">yang bersifat non-hemolitik atau tidak melisiskan eritrosit </w:t>
      </w:r>
      <w:r w:rsidR="0002177F" w:rsidRPr="00D14382">
        <w:rPr>
          <w:rFonts w:ascii="Times New Roman" w:hAnsi="Times New Roman"/>
          <w:sz w:val="24"/>
          <w:szCs w:val="24"/>
        </w:rPr>
        <w:fldChar w:fldCharType="begin"/>
      </w:r>
      <w:r w:rsidR="000C41F5">
        <w:rPr>
          <w:rFonts w:ascii="Times New Roman" w:hAnsi="Times New Roman"/>
          <w:sz w:val="24"/>
          <w:szCs w:val="24"/>
        </w:rPr>
        <w:instrText xml:space="preserve"> ADDIN ZOTERO_ITEM CSL_CITATION {"citationID":"ONGAPG3h","properties":{"formattedCitation":"(Suhermanto et al. 2019)","plainCitation":"(Suhermanto et al. 2019)","noteIndex":0},"citationItems":[{"id":5392,"uris":["http://zotero.org/users/5375416/items/HMT5MXN7"],"uri":["http://zotero.org/users/5375416/items/HMT5MXN7"],"itemData":{"id":5392,"type":"article-journal","abstract":"Streptococcus agalactiae is the main pathogen that causes mortality and failure of tilapia culture in Indonesia. This research aimed to investigate the phenotype, susceptibility to antibiotics, and genotype of S. agalactiae bacteria from several regions in Indonesia. Characterization was carried out in morphology, physics, biochemistry, susceptibility to antibiotics, and molecular analysis. Bacterial samples were collected from tilapia during streptococcosis outbreaks with clinical signs as follow: melanosis, unilateral/bilateral exophthalmos, hemorrhage around eyes, corneal opacity, C-shape spinal curvature, erratic, whirling, and hemorrhage at the base of the fin. The results showed that all isolates were Grampositive cocci, catalase negative, oxidase negative, grew on 6.5% NaCl, 40% bile salt, and did not significantly differ in growth at 37°C. Two biotypes of S. agalactiae isolates related to the outbreaks in tilapia culture in Indonesia were identified: β-haemolytics collected from Papua, Jambi and South Borneo and non-haemolytics from Java and Gorontalo. Molecular and BLAST tests at NCBI showed that all isolates were identified with S. agalactiae bacteria with 97-99% identity. Phylogenetic trees indicating that seven S. agalactiae isolates formed a clade with one comparable bacterium and three isolates forming other clusters.","container-title":"AACL Bioflux","issue":"3","language":"en","page":"11","source":"Zotero","title":"Characterization of Streptococcus agalactiae bacterium isolated from tilapia (Oreochromis niloticus) culture in Indonesia","volume":"12","author":[{"family":"Suhermanto","given":"Achmad"},{"family":"Sukenda","given":"Sukenda"},{"family":"Jr","given":"Muhammad Zairin"},{"family":"Lusiastuti","given":"Angela M"},{"family":"Nuryati","given":"Sri"}],"issued":{"date-parts":[["2019"]]}}}],"schema":"https://github.com/citation-style-language/schema/raw/master/csl-citation.json"} </w:instrText>
      </w:r>
      <w:r w:rsidR="0002177F" w:rsidRPr="00D14382">
        <w:rPr>
          <w:rFonts w:ascii="Times New Roman" w:hAnsi="Times New Roman"/>
          <w:sz w:val="24"/>
          <w:szCs w:val="24"/>
        </w:rPr>
        <w:fldChar w:fldCharType="separate"/>
      </w:r>
      <w:r w:rsidR="0002177F" w:rsidRPr="00D14382">
        <w:rPr>
          <w:rFonts w:ascii="Times New Roman" w:hAnsi="Times New Roman"/>
          <w:sz w:val="24"/>
          <w:szCs w:val="24"/>
        </w:rPr>
        <w:t xml:space="preserve">(Suhermanto </w:t>
      </w:r>
      <w:r w:rsidR="000C41F5" w:rsidRPr="000C41F5">
        <w:rPr>
          <w:rFonts w:ascii="Times New Roman" w:hAnsi="Times New Roman"/>
          <w:i/>
          <w:iCs/>
          <w:sz w:val="24"/>
          <w:szCs w:val="24"/>
        </w:rPr>
        <w:t>et al</w:t>
      </w:r>
      <w:r w:rsidR="0002177F" w:rsidRPr="00D14382">
        <w:rPr>
          <w:rFonts w:ascii="Times New Roman" w:hAnsi="Times New Roman"/>
          <w:sz w:val="24"/>
          <w:szCs w:val="24"/>
        </w:rPr>
        <w:t>. 2019)</w:t>
      </w:r>
      <w:r w:rsidR="0002177F" w:rsidRPr="00D14382">
        <w:rPr>
          <w:rFonts w:ascii="Times New Roman" w:hAnsi="Times New Roman"/>
          <w:sz w:val="24"/>
          <w:szCs w:val="24"/>
        </w:rPr>
        <w:fldChar w:fldCharType="end"/>
      </w:r>
      <w:r w:rsidR="0002177F" w:rsidRPr="00D14382">
        <w:rPr>
          <w:rFonts w:ascii="Times New Roman" w:hAnsi="Times New Roman"/>
          <w:sz w:val="24"/>
          <w:szCs w:val="24"/>
        </w:rPr>
        <w:t xml:space="preserve">, sehingga kemungkinan jumlah eritrosit dari kelompok kontrol tidak dipengaruhi oleh adanya infeksi dari </w:t>
      </w:r>
      <w:r w:rsidR="0002177F" w:rsidRPr="00D14382">
        <w:rPr>
          <w:rFonts w:ascii="Times New Roman" w:hAnsi="Times New Roman"/>
          <w:i/>
          <w:iCs/>
          <w:sz w:val="24"/>
          <w:szCs w:val="24"/>
        </w:rPr>
        <w:t>S. agalactiae</w:t>
      </w:r>
      <w:r w:rsidR="00CB15C2" w:rsidRPr="00D14382">
        <w:rPr>
          <w:rFonts w:ascii="Times New Roman" w:hAnsi="Times New Roman"/>
          <w:sz w:val="24"/>
          <w:szCs w:val="24"/>
        </w:rPr>
        <w:t xml:space="preserve"> namun dipengaruhi oleh perlakuan tanaman obat.</w:t>
      </w:r>
    </w:p>
    <w:p w14:paraId="6B971C39" w14:textId="72AB94E4" w:rsidR="00F60172" w:rsidRPr="00D14382" w:rsidRDefault="00D14382" w:rsidP="000004FB">
      <w:pPr>
        <w:spacing w:after="0" w:line="480" w:lineRule="auto"/>
        <w:jc w:val="both"/>
        <w:rPr>
          <w:rFonts w:ascii="Times New Roman" w:hAnsi="Times New Roman"/>
          <w:sz w:val="24"/>
          <w:szCs w:val="24"/>
          <w:lang w:val="id-ID"/>
        </w:rPr>
      </w:pPr>
      <w:r w:rsidRPr="00D14382">
        <w:rPr>
          <w:rFonts w:ascii="Times New Roman" w:hAnsi="Times New Roman"/>
          <w:noProof/>
          <w:sz w:val="24"/>
          <w:szCs w:val="24"/>
        </w:rPr>
        <w:lastRenderedPageBreak/>
        <w:drawing>
          <wp:inline distT="0" distB="0" distL="0" distR="0" wp14:anchorId="1B4206FD" wp14:editId="1767581A">
            <wp:extent cx="4572000" cy="2743200"/>
            <wp:effectExtent l="0" t="0" r="0" b="0"/>
            <wp:docPr id="8"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229F62" w14:textId="77777777" w:rsidR="00CB15C2" w:rsidRPr="00D14382" w:rsidRDefault="00CB15C2" w:rsidP="000004FB">
      <w:pPr>
        <w:spacing w:after="0" w:line="480" w:lineRule="auto"/>
        <w:ind w:left="1701" w:hanging="1701"/>
        <w:jc w:val="both"/>
        <w:rPr>
          <w:rFonts w:ascii="Times New Roman" w:hAnsi="Times New Roman"/>
          <w:i/>
          <w:iCs/>
          <w:sz w:val="24"/>
          <w:szCs w:val="24"/>
        </w:rPr>
      </w:pPr>
      <w:r w:rsidRPr="00D14382">
        <w:rPr>
          <w:rFonts w:ascii="Times New Roman" w:hAnsi="Times New Roman"/>
          <w:sz w:val="24"/>
          <w:szCs w:val="24"/>
        </w:rPr>
        <w:t>Gambar 2. Jumlah eritrosit ikan nila yang menerima perlakuan tanaman kombinasi ekstrak daun sirih dan kipahit sete</w:t>
      </w:r>
      <w:r w:rsidR="001B48F6" w:rsidRPr="00D14382">
        <w:rPr>
          <w:rFonts w:ascii="Times New Roman" w:hAnsi="Times New Roman"/>
          <w:sz w:val="24"/>
          <w:szCs w:val="24"/>
        </w:rPr>
        <w:t>l</w:t>
      </w:r>
      <w:r w:rsidRPr="00D14382">
        <w:rPr>
          <w:rFonts w:ascii="Times New Roman" w:hAnsi="Times New Roman"/>
          <w:sz w:val="24"/>
          <w:szCs w:val="24"/>
        </w:rPr>
        <w:t xml:space="preserve">ah uji tantang dengan bakteri </w:t>
      </w:r>
      <w:r w:rsidRPr="00D14382">
        <w:rPr>
          <w:rFonts w:ascii="Times New Roman" w:hAnsi="Times New Roman"/>
          <w:i/>
          <w:iCs/>
          <w:sz w:val="24"/>
          <w:szCs w:val="24"/>
        </w:rPr>
        <w:t>S. agalactiae</w:t>
      </w:r>
    </w:p>
    <w:p w14:paraId="0E494301" w14:textId="77777777" w:rsidR="002F4FF0" w:rsidRPr="00D14382" w:rsidRDefault="002F4FF0" w:rsidP="000004FB">
      <w:pPr>
        <w:spacing w:after="0" w:line="480" w:lineRule="auto"/>
        <w:ind w:left="993" w:hanging="993"/>
        <w:jc w:val="both"/>
        <w:rPr>
          <w:rFonts w:ascii="Times New Roman" w:hAnsi="Times New Roman"/>
          <w:sz w:val="24"/>
          <w:szCs w:val="24"/>
        </w:rPr>
      </w:pPr>
      <w:r w:rsidRPr="00D14382">
        <w:rPr>
          <w:rFonts w:ascii="Times New Roman" w:hAnsi="Times New Roman"/>
          <w:sz w:val="24"/>
          <w:szCs w:val="24"/>
        </w:rPr>
        <w:t xml:space="preserve">Figure 2. Erythrocyte of tilapia received a combination of betel and kipahit leaf extract treatment after challenge with </w:t>
      </w:r>
      <w:r w:rsidRPr="00D14382">
        <w:rPr>
          <w:rFonts w:ascii="Times New Roman" w:hAnsi="Times New Roman"/>
          <w:i/>
          <w:iCs/>
          <w:sz w:val="24"/>
          <w:szCs w:val="24"/>
        </w:rPr>
        <w:t>S. agalactiae</w:t>
      </w:r>
      <w:r w:rsidRPr="00D14382">
        <w:rPr>
          <w:rFonts w:ascii="Times New Roman" w:hAnsi="Times New Roman"/>
          <w:sz w:val="24"/>
          <w:szCs w:val="24"/>
        </w:rPr>
        <w:t xml:space="preserve"> </w:t>
      </w:r>
    </w:p>
    <w:p w14:paraId="2B9C2D05" w14:textId="7CBA8DE8" w:rsidR="004C4C5D" w:rsidRPr="00D14382" w:rsidRDefault="00CB15C2" w:rsidP="000004FB">
      <w:pPr>
        <w:spacing w:after="0" w:line="480" w:lineRule="auto"/>
        <w:ind w:firstLine="567"/>
        <w:jc w:val="both"/>
        <w:rPr>
          <w:rFonts w:ascii="Times New Roman" w:hAnsi="Times New Roman"/>
          <w:sz w:val="24"/>
          <w:szCs w:val="24"/>
        </w:rPr>
      </w:pPr>
      <w:r w:rsidRPr="00D14382">
        <w:rPr>
          <w:rFonts w:ascii="Times New Roman" w:hAnsi="Times New Roman"/>
          <w:sz w:val="24"/>
          <w:szCs w:val="24"/>
        </w:rPr>
        <w:t xml:space="preserve">Naiknya jumlah leukosit merupakan respon yang terjadi hampir disetiap </w:t>
      </w:r>
      <w:r w:rsidR="001B48F6" w:rsidRPr="00D14382">
        <w:rPr>
          <w:rFonts w:ascii="Times New Roman" w:hAnsi="Times New Roman"/>
          <w:sz w:val="24"/>
          <w:szCs w:val="24"/>
        </w:rPr>
        <w:t xml:space="preserve">adanya serangan infeksi. Hal ini disebabkan bahwa fungsi sel darah putih (leukosit) adalah pertahanan pertama dari tubuh untuk menghalau serangan penyakit yang terjadi. Hasil serupa juga ditunjukkan oleh penelitian sebelumnya yang menggunakan ikan nila yang telah diinfeksi oleh </w:t>
      </w:r>
      <w:r w:rsidR="001B48F6" w:rsidRPr="00D14382">
        <w:rPr>
          <w:rFonts w:ascii="Times New Roman" w:hAnsi="Times New Roman"/>
          <w:i/>
          <w:iCs/>
          <w:sz w:val="24"/>
          <w:szCs w:val="24"/>
        </w:rPr>
        <w:t>Enterococcus sp</w:t>
      </w:r>
      <w:r w:rsidR="001B48F6" w:rsidRPr="00D14382">
        <w:rPr>
          <w:rFonts w:ascii="Times New Roman" w:hAnsi="Times New Roman"/>
          <w:sz w:val="24"/>
          <w:szCs w:val="24"/>
        </w:rPr>
        <w:t>. Pada penelit</w:t>
      </w:r>
      <w:r w:rsidR="000901F9" w:rsidRPr="00D14382">
        <w:rPr>
          <w:rFonts w:ascii="Times New Roman" w:hAnsi="Times New Roman"/>
          <w:sz w:val="24"/>
          <w:szCs w:val="24"/>
        </w:rPr>
        <w:t>ia</w:t>
      </w:r>
      <w:r w:rsidR="001B48F6" w:rsidRPr="00D14382">
        <w:rPr>
          <w:rFonts w:ascii="Times New Roman" w:hAnsi="Times New Roman"/>
          <w:sz w:val="24"/>
          <w:szCs w:val="24"/>
        </w:rPr>
        <w:t xml:space="preserve">n tersebut jumlah leukosit yang terhitung naik secara signifikan </w:t>
      </w:r>
      <w:r w:rsidR="001B48F6" w:rsidRPr="00D14382">
        <w:rPr>
          <w:rFonts w:ascii="Times New Roman" w:hAnsi="Times New Roman"/>
          <w:sz w:val="24"/>
          <w:szCs w:val="24"/>
        </w:rPr>
        <w:fldChar w:fldCharType="begin"/>
      </w:r>
      <w:r w:rsidR="000C41F5">
        <w:rPr>
          <w:rFonts w:ascii="Times New Roman" w:hAnsi="Times New Roman"/>
          <w:sz w:val="24"/>
          <w:szCs w:val="24"/>
        </w:rPr>
        <w:instrText xml:space="preserve"> ADDIN ZOTERO_ITEM CSL_CITATION {"citationID":"fizU4LF6","properties":{"formattedCitation":"(Martins et al. 2008)","plainCitation":"(Martins et al. 2008)","noteIndex":0},"citationItems":[{"id":5415,"uris":["http://zotero.org/users/5375416/items/XAJ5HHRY"],"uri":["http://zotero.org/users/5375416/items/XAJ5HHRY"],"itemData":{"id":5415,"type":"article-journal","abstract":"This study evaluated the haematological changes in Nile tilapia experimentally infected with 1 x 103 and 1 x 106 colony-forming units (CFU)/mL of Enterococcus sp. in the swim bladder. The experiment consisted of four treatments in triplicates: non-injected ﬁsh (NI); ﬁsh injected with 1 mL of sterile saline solution 0.65% (SAL); ﬁsh injected with 1 x 103 and 1 x 106 CFU/mL of Enterococcus diluted in 1 mL sterile saline. Twenty-four hours after injection, the ﬁsh were anesthetized and the blood collected. The haematological tests included red blood cell (RBC) and white blood cell (WBC) counts, hematocrit, number of total thrombocytes, and differential counting of WBC. Fish injected with 1 x 106 CFU/mL of Enterococcus showed a higher number of thrombocytes than the other treatments. White blood cell and lymphocyte numbers increased signiﬁcantly in ﬁsh injected with 1 x 106 CFU/mL of Enterococcus when compared to non-injected control. There was signiﬁcant increase in the number of neutrophils in saline injected ﬁsh and reduced number of monocytes after injections with 1 x 106 CFU/mL of Enterococcus. Hematocrit increased in ﬁsh injected with 1 x 103 and 1 x 106 CFU/mL of Enterococcus.","container-title":"Brazilian Journal of Biology","DOI":"10.1590/S1519-69842008000300025","ISSN":"1519-6984","issue":"3","journalAbbreviation":"Braz. J. Biol.","language":"en","page":"657-661","source":"DOI.org (Crossref)","title":"Haematological changes in Nile tilapia experimentally infected with Enterococcus sp.","volume":"68","author":[{"family":"Martins","given":"Ml."},{"family":"Mouriño","given":"Jlp."},{"family":"Amaral","given":"Gv."},{"family":"Vieira","given":"Fn."},{"family":"Dotta","given":"G."},{"family":"Jatobá","given":"Amb."},{"family":"Pedrotti","given":"Fs."},{"family":"Jerônimo","given":"Gt."},{"family":"Buglione-Neto","given":"Cc."},{"family":"Pereira-Jr.","given":"G."}],"issued":{"date-parts":[["2008",8]]}}}],"schema":"https://github.com/citation-style-language/schema/raw/master/csl-citation.json"} </w:instrText>
      </w:r>
      <w:r w:rsidR="001B48F6" w:rsidRPr="00D14382">
        <w:rPr>
          <w:rFonts w:ascii="Times New Roman" w:hAnsi="Times New Roman"/>
          <w:sz w:val="24"/>
          <w:szCs w:val="24"/>
        </w:rPr>
        <w:fldChar w:fldCharType="separate"/>
      </w:r>
      <w:r w:rsidR="001B48F6" w:rsidRPr="00D14382">
        <w:rPr>
          <w:rFonts w:ascii="Times New Roman" w:hAnsi="Times New Roman"/>
          <w:sz w:val="24"/>
          <w:szCs w:val="24"/>
        </w:rPr>
        <w:t xml:space="preserve">(Martins </w:t>
      </w:r>
      <w:r w:rsidR="000C41F5" w:rsidRPr="000C41F5">
        <w:rPr>
          <w:rFonts w:ascii="Times New Roman" w:hAnsi="Times New Roman"/>
          <w:i/>
          <w:iCs/>
          <w:sz w:val="24"/>
          <w:szCs w:val="24"/>
        </w:rPr>
        <w:t>et al</w:t>
      </w:r>
      <w:r w:rsidR="001B48F6" w:rsidRPr="00D14382">
        <w:rPr>
          <w:rFonts w:ascii="Times New Roman" w:hAnsi="Times New Roman"/>
          <w:sz w:val="24"/>
          <w:szCs w:val="24"/>
        </w:rPr>
        <w:t>. 2008)</w:t>
      </w:r>
      <w:r w:rsidR="001B48F6" w:rsidRPr="00D14382">
        <w:rPr>
          <w:rFonts w:ascii="Times New Roman" w:hAnsi="Times New Roman"/>
          <w:sz w:val="24"/>
          <w:szCs w:val="24"/>
        </w:rPr>
        <w:fldChar w:fldCharType="end"/>
      </w:r>
      <w:r w:rsidR="001B48F6" w:rsidRPr="00D14382">
        <w:rPr>
          <w:rFonts w:ascii="Times New Roman" w:hAnsi="Times New Roman"/>
          <w:sz w:val="24"/>
          <w:szCs w:val="24"/>
        </w:rPr>
        <w:t>. Penambahan ekstrak tanaman terlihat memberikan efek positif pada ikan uji</w:t>
      </w:r>
      <w:r w:rsidR="000901F9" w:rsidRPr="00D14382">
        <w:rPr>
          <w:rFonts w:ascii="Times New Roman" w:hAnsi="Times New Roman"/>
          <w:sz w:val="24"/>
          <w:szCs w:val="24"/>
        </w:rPr>
        <w:t xml:space="preserve"> (Gambar 3)</w:t>
      </w:r>
      <w:r w:rsidR="001B48F6" w:rsidRPr="00D14382">
        <w:rPr>
          <w:rFonts w:ascii="Times New Roman" w:hAnsi="Times New Roman"/>
          <w:sz w:val="24"/>
          <w:szCs w:val="24"/>
        </w:rPr>
        <w:t xml:space="preserve">, hal ini sesuai dengan penelitian sebelumnya yang menunjukkan naiknya jumlah leukosit </w:t>
      </w:r>
      <w:r w:rsidR="00B474B0" w:rsidRPr="00D14382">
        <w:rPr>
          <w:rFonts w:ascii="Times New Roman" w:hAnsi="Times New Roman"/>
          <w:sz w:val="24"/>
          <w:szCs w:val="24"/>
        </w:rPr>
        <w:t xml:space="preserve">pada ikan nila yang menerima perlakuan pakan bersuplemen </w:t>
      </w:r>
      <w:r w:rsidR="000901F9" w:rsidRPr="00D14382">
        <w:rPr>
          <w:rFonts w:ascii="Times New Roman" w:hAnsi="Times New Roman"/>
          <w:sz w:val="24"/>
          <w:szCs w:val="24"/>
        </w:rPr>
        <w:t xml:space="preserve">minyak esensial dari </w:t>
      </w:r>
      <w:r w:rsidR="000901F9" w:rsidRPr="00D14382">
        <w:rPr>
          <w:rFonts w:ascii="Times New Roman" w:hAnsi="Times New Roman"/>
          <w:i/>
          <w:iCs/>
          <w:sz w:val="24"/>
          <w:szCs w:val="24"/>
        </w:rPr>
        <w:t xml:space="preserve">Citrus limon </w:t>
      </w:r>
      <w:r w:rsidR="000901F9" w:rsidRPr="00D14382">
        <w:rPr>
          <w:rFonts w:ascii="Times New Roman" w:hAnsi="Times New Roman"/>
          <w:i/>
          <w:iCs/>
          <w:sz w:val="24"/>
          <w:szCs w:val="24"/>
        </w:rPr>
        <w:fldChar w:fldCharType="begin"/>
      </w:r>
      <w:r w:rsidR="000C41F5">
        <w:rPr>
          <w:rFonts w:ascii="Times New Roman" w:hAnsi="Times New Roman"/>
          <w:i/>
          <w:iCs/>
          <w:sz w:val="24"/>
          <w:szCs w:val="24"/>
        </w:rPr>
        <w:instrText xml:space="preserve"> ADDIN ZOTERO_ITEM CSL_CITATION {"citationID":"DKeOVhNw","properties":{"formattedCitation":"(Baba et al. 2016)","plainCitation":"(Baba et al. 2016)","noteIndex":0},"citationItems":[{"id":5480,"uris":["http://zotero.org/users/5375416/items/MH7UPDL7"],"uri":["http://zotero.org/users/5375416/items/MH7UPDL7"],"itemData":{"id":5480,"type":"article-journal","abstract":"The present study was carried on to determine the effects of Citrus limon peel essential oil as feed supplement on non-specific immune system, disease resistance against Edwardsiella tarda and growth performance in Mozambique tilapia (Oreochromis mossambicus). Fish were randomly distributed at 25 fish per 50 L aquariums and fed with commercial diets supplemented with different ratios (0% for the control group and then 0.5%, 0.75% and 1%) of limon essential oil for 60 days. At the end of the feeding trial, immunological, biochemical and biometrical parameters were assessed. Also following 60 days of feeding, the fish were injected with E. tarda and mortalities were recorded. Results showed that C. limon peel essential oil supplementation diet enhanced the Nitro blue tetrazolium (NBT) positive cell count and total white blood cell (WBC) in tilapia. At the same time a significant change was found in the lysozyme activity and myeloperoxidase activity in serum. Serum glucose, cholesterol and triglycerides decreased while total protein increased in the groups fed with C. limon essential oil supplemented diets. All C. limon peel essential oil supplemented groups showed reduced mortalities following E. tarda infection compared with the control group. The results indicated that C. limon peel essential oil supplementation could improve nonspecific immune parameters and growth performance and decrease mortality rate of cultured tilapia.","container-title":"Aquaculture","DOI":"10.1016/j.aquaculture.2016.08.023","ISSN":"00448486","journalAbbreviation":"Aquaculture","language":"en","page":"13-18","source":"DOI.org (Crossref)","title":"Evaluation of Citrus limon peels essential oil on growth performance, immune response of Mozambique tilapia Oreochromis mossambicus challenged with Edwardsiella tarda","volume":"465","author":[{"family":"Baba","given":"Esin"},{"family":"Acar","given":"Ümit"},{"family":"Öntaş","given":"Canan"},{"family":"Kesbiç","given":"Osman Sabri"},{"family":"Yılmaz","given":"Sevdan"}],"issued":{"date-parts":[["2016",12]]}}}],"schema":"https://github.com/citation-style-language/schema/raw/master/csl-citation.json"} </w:instrText>
      </w:r>
      <w:r w:rsidR="000901F9" w:rsidRPr="00D14382">
        <w:rPr>
          <w:rFonts w:ascii="Times New Roman" w:hAnsi="Times New Roman"/>
          <w:i/>
          <w:iCs/>
          <w:sz w:val="24"/>
          <w:szCs w:val="24"/>
        </w:rPr>
        <w:fldChar w:fldCharType="separate"/>
      </w:r>
      <w:r w:rsidR="000901F9" w:rsidRPr="00D14382">
        <w:rPr>
          <w:rFonts w:ascii="Times New Roman" w:hAnsi="Times New Roman"/>
          <w:sz w:val="24"/>
          <w:szCs w:val="24"/>
        </w:rPr>
        <w:t xml:space="preserve">(Baba </w:t>
      </w:r>
      <w:r w:rsidR="000C41F5" w:rsidRPr="000C41F5">
        <w:rPr>
          <w:rFonts w:ascii="Times New Roman" w:hAnsi="Times New Roman"/>
          <w:i/>
          <w:iCs/>
          <w:sz w:val="24"/>
          <w:szCs w:val="24"/>
        </w:rPr>
        <w:t>et al</w:t>
      </w:r>
      <w:r w:rsidR="000901F9" w:rsidRPr="00D14382">
        <w:rPr>
          <w:rFonts w:ascii="Times New Roman" w:hAnsi="Times New Roman"/>
          <w:sz w:val="24"/>
          <w:szCs w:val="24"/>
        </w:rPr>
        <w:t>. 2016)</w:t>
      </w:r>
      <w:r w:rsidR="000901F9" w:rsidRPr="00D14382">
        <w:rPr>
          <w:rFonts w:ascii="Times New Roman" w:hAnsi="Times New Roman"/>
          <w:i/>
          <w:iCs/>
          <w:sz w:val="24"/>
          <w:szCs w:val="24"/>
        </w:rPr>
        <w:fldChar w:fldCharType="end"/>
      </w:r>
      <w:r w:rsidR="000901F9" w:rsidRPr="00D14382">
        <w:rPr>
          <w:rFonts w:ascii="Times New Roman" w:hAnsi="Times New Roman"/>
          <w:i/>
          <w:iCs/>
          <w:sz w:val="24"/>
          <w:szCs w:val="24"/>
        </w:rPr>
        <w:t xml:space="preserve">. </w:t>
      </w:r>
      <w:r w:rsidR="000901F9" w:rsidRPr="00D14382">
        <w:rPr>
          <w:rFonts w:ascii="Times New Roman" w:hAnsi="Times New Roman"/>
          <w:sz w:val="24"/>
          <w:szCs w:val="24"/>
        </w:rPr>
        <w:t>Jumlah leukosit yang naik diduga karena adanya proliferasi sel dari sel dari darah putih yang</w:t>
      </w:r>
      <w:r w:rsidR="00993CA7">
        <w:rPr>
          <w:rFonts w:ascii="Times New Roman" w:hAnsi="Times New Roman"/>
          <w:sz w:val="24"/>
          <w:szCs w:val="24"/>
        </w:rPr>
        <w:t xml:space="preserve"> </w:t>
      </w:r>
      <w:r w:rsidR="000901F9" w:rsidRPr="00D14382">
        <w:rPr>
          <w:rFonts w:ascii="Times New Roman" w:hAnsi="Times New Roman"/>
          <w:sz w:val="24"/>
          <w:szCs w:val="24"/>
        </w:rPr>
        <w:lastRenderedPageBreak/>
        <w:t xml:space="preserve">diproduksi di organ ginjal dari ikan, seperti penelitian yang menggunakan ikan lele sebagai ikan model </w:t>
      </w:r>
      <w:r w:rsidR="000901F9" w:rsidRPr="00D14382">
        <w:rPr>
          <w:rFonts w:ascii="Times New Roman" w:hAnsi="Times New Roman"/>
          <w:sz w:val="24"/>
          <w:szCs w:val="24"/>
        </w:rPr>
        <w:fldChar w:fldCharType="begin"/>
      </w:r>
      <w:r w:rsidR="000C41F5">
        <w:rPr>
          <w:rFonts w:ascii="Times New Roman" w:hAnsi="Times New Roman"/>
          <w:sz w:val="24"/>
          <w:szCs w:val="24"/>
        </w:rPr>
        <w:instrText xml:space="preserve"> ADDIN ZOTERO_ITEM CSL_CITATION {"citationID":"TyQ5g0Bf","properties":{"formattedCitation":"(Nafiqoh, Sukenda, Zairin Jr, et al. 2019)","plainCitation":"(Nafiqoh, Sukenda, Zairin Jr, et al. 2019)","noteIndex":0},"citationItems":[{"id":5283,"uris":["http://zotero.org/users/5375416/items/LYLHAI3T"],"uri":["http://zotero.org/users/5375416/items/LYLHAI3T"],"itemData":{"id":5283,"type":"article-journal","abstract":"Tanaman obat telah banyak digunakan sebagai bahan pencegah dan pengobatan penyakit pada ikan budidaya. Penelitian ini ditujukan untuk mengetahui status kesehatan ikan lele (C. gariepinus) yang menerima pakan dengan suplemen tanaman obat kombinasi dari daun sirih, jambu biji, dan kipahit melalui pengamatan gambaran darah dan histologi ginjal sebagai organ yang memproduksi darah. Kombinasi satu merupakan kombinasi dari ketiga daun tanaman obat masing-masing sebanyak 33%, kombinasi dua juga terdiri dari daun sirih, jambu biji, dan kipahit masing-masing sebanyak 5%:19%:76%, dan kontrol yaitu pakan tanpa penambahan tanaman obat. Gambaran darah dan histologi ginjal diamati pada minggu ketiga setelah pemberian pakan. Hasil pengamatan gambaran darah menunjukkan bahwa terdapat peningkatan jumlah sel darah merah pada ikan yang menerima pakan perlakuan dibandingkan dengan kontrol (0,4 ± 0,14). Namun tidak terdapat perbedaan nyata antara jumlah sel darah merah dari kelompok perlakuan kombinasi satu dan dua (1,5 ± 0,17 dan 1,4 ± 0,1). Jumlah sel darah putih pada kelompok perlakuan juga meningkat dibandingkan dengan kelompok kontrol (10,5 ± 0,46), namun tidak terdapat perbedaan nyata antara kelompok perlakuan kombinasi satu dan dua (15,1 ± 1,19 dan 17,6 ± 1,14). Hasil pengamatan histologi terlihat jaringan hematopoietik organ ginjal dari kelompok yang menerima perlakuan berproliferasi lebih banyak dibandingkan kelompok kontrol. Namun tidak ada pengaruh pada nilai hemoglobin dan persentase leukosit diferensiasi antara kelompok perlakuan dan kontrol. Penambahan daun tanaman obat dalam pakan ikan mampu meningkakan status kesehatan dari ikan lele.Medicinal herbs have been traditionally used as prophylactic and therapeutic supplement to treat diseases in aquaculture. This study was aimed to improve the health quality of catfish (C. gariepinus) through feeding on diets enriched with a combination of betel, guava, and tithonia as medicine by analyzing hematology and histology of kidney as blood producing organ. Diet-one was feed enrich with 33% of each plant. Diet-two was feed enriched with betel, guava, and tithonia at a proportion of 5%,19%, and 76%, respectively. Control diet was fed without the plants’ supplementation. Hematology and histology of fish kidney were observed after fish received three-week feed treatments. The results showed that there was an increase of erythrocyte levels in the treated fish groups fed with diet-one and diet-two compared with the control (0.4 ± 0.14). However, no significant differences of erythrocyte level were observed between fish groups fed with diet -one and die-two (1.5 ± 0.17 and 1.4 ± 0.1). Leucocyte levels also increased in the treated fish group with diet-one and diet-two compared to the control (10.5 ± 0.46). However, there was no significant difference of leucocyte level between the fish group feed with diet-one and diet-two (15.1 ± 1.19 and 17.6 ± 1.14). Histological observations found that there were more hematopoietic tissues in the fish kidney of proliferated treated group than the control group. However, there was no effect on hemoglobin level and leukocyte percentage differentiation between the treatment and control groups. This study concludes that medicinal herbs as enrichment ingredients in fish diet can increase the health quality of fish.","container-title":"Jurnal Riset Akuakultur","DOI":"10.15578/jra.13.4.2018.357-365","ISSN":"2502-6534, 1907-6754","issue":"4","journalAbbreviation":"Jurnal Riset Akuakultur","language":"id","page":"357","source":"DOI.org (Crossref)","title":"STATUS KESEHATAN IKAN LELE (Clarias gariepinus) YANG MENERIMA PAKAN BERSUPLEMEN KOMBINASI DAUN SIRIH (Piper betler leaf), JAMBU BIJI (Psidium guajava leaf), DAN KIPAHIT (Tithonia diversifolia leaf)","volume":"13","author":[{"family":"Nafiqoh","given":"Nunak"},{"family":"Sukenda","given":"Sukenda"},{"family":"Zairin Jr","given":"Muhamad"},{"family":"Alimuddin","given":"Alimuddin"},{"family":"Lusiastuti","given":"Angela Mariana"},{"family":"Avarre","given":"Jean-Christophe"}],"issued":{"date-parts":[["2019",5,23]]}}}],"schema":"https://github.com/citation-style-language/schema/raw/master/csl-citation.json"} </w:instrText>
      </w:r>
      <w:r w:rsidR="000901F9" w:rsidRPr="00D14382">
        <w:rPr>
          <w:rFonts w:ascii="Times New Roman" w:hAnsi="Times New Roman"/>
          <w:sz w:val="24"/>
          <w:szCs w:val="24"/>
        </w:rPr>
        <w:fldChar w:fldCharType="separate"/>
      </w:r>
      <w:r w:rsidR="000C41F5" w:rsidRPr="000C41F5">
        <w:rPr>
          <w:rFonts w:ascii="Times New Roman" w:hAnsi="Times New Roman"/>
          <w:sz w:val="24"/>
        </w:rPr>
        <w:t xml:space="preserve">(Nafiqoh, Sukenda, Zairin Jr, </w:t>
      </w:r>
      <w:r w:rsidR="000C41F5" w:rsidRPr="000C41F5">
        <w:rPr>
          <w:rFonts w:ascii="Times New Roman" w:hAnsi="Times New Roman"/>
          <w:i/>
          <w:iCs/>
          <w:sz w:val="24"/>
        </w:rPr>
        <w:t>et al</w:t>
      </w:r>
      <w:r w:rsidR="000C41F5" w:rsidRPr="000C41F5">
        <w:rPr>
          <w:rFonts w:ascii="Times New Roman" w:hAnsi="Times New Roman"/>
          <w:sz w:val="24"/>
        </w:rPr>
        <w:t>. 2019)</w:t>
      </w:r>
      <w:r w:rsidR="000901F9" w:rsidRPr="00D14382">
        <w:rPr>
          <w:rFonts w:ascii="Times New Roman" w:hAnsi="Times New Roman"/>
          <w:sz w:val="24"/>
          <w:szCs w:val="24"/>
        </w:rPr>
        <w:fldChar w:fldCharType="end"/>
      </w:r>
    </w:p>
    <w:p w14:paraId="2177E060" w14:textId="1BF6EEEC" w:rsidR="004C4C5D" w:rsidRPr="00D14382" w:rsidRDefault="00D14382" w:rsidP="000004FB">
      <w:pPr>
        <w:spacing w:after="0" w:line="480" w:lineRule="auto"/>
        <w:jc w:val="both"/>
        <w:rPr>
          <w:rFonts w:ascii="Times New Roman" w:hAnsi="Times New Roman"/>
          <w:sz w:val="24"/>
          <w:szCs w:val="24"/>
          <w:lang w:val="id-ID"/>
        </w:rPr>
      </w:pPr>
      <w:r w:rsidRPr="00D14382">
        <w:rPr>
          <w:rFonts w:ascii="Times New Roman" w:hAnsi="Times New Roman"/>
          <w:noProof/>
          <w:sz w:val="24"/>
          <w:szCs w:val="24"/>
          <w:lang w:val="id-ID" w:eastAsia="id-ID"/>
        </w:rPr>
        <w:drawing>
          <wp:inline distT="0" distB="0" distL="0" distR="0" wp14:anchorId="4F12CA7C" wp14:editId="5A98335A">
            <wp:extent cx="4572000" cy="2743200"/>
            <wp:effectExtent l="0" t="0" r="0" b="0"/>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E78843" w14:textId="77777777" w:rsidR="000901F9" w:rsidRPr="00D14382" w:rsidRDefault="000901F9" w:rsidP="000004FB">
      <w:pPr>
        <w:spacing w:after="0" w:line="480" w:lineRule="auto"/>
        <w:ind w:left="1134" w:hanging="1134"/>
        <w:jc w:val="both"/>
        <w:rPr>
          <w:rFonts w:ascii="Times New Roman" w:hAnsi="Times New Roman"/>
          <w:i/>
          <w:iCs/>
          <w:sz w:val="24"/>
          <w:szCs w:val="24"/>
        </w:rPr>
      </w:pPr>
      <w:r w:rsidRPr="00D14382">
        <w:rPr>
          <w:rFonts w:ascii="Times New Roman" w:hAnsi="Times New Roman"/>
          <w:sz w:val="24"/>
          <w:szCs w:val="24"/>
        </w:rPr>
        <w:t xml:space="preserve">Gambar 3. Jumlah leukosit ikan nila yang menerima perlakuan tanaman kombinasi ekstrak daun sirih dan kipahit setelah uji tantang dengan bakteri </w:t>
      </w:r>
      <w:r w:rsidRPr="00D14382">
        <w:rPr>
          <w:rFonts w:ascii="Times New Roman" w:hAnsi="Times New Roman"/>
          <w:i/>
          <w:iCs/>
          <w:sz w:val="24"/>
          <w:szCs w:val="24"/>
        </w:rPr>
        <w:t>S. agalactiae</w:t>
      </w:r>
    </w:p>
    <w:p w14:paraId="63632D75" w14:textId="77777777" w:rsidR="002F4FF0" w:rsidRPr="00D14382" w:rsidRDefault="002F4FF0" w:rsidP="000004FB">
      <w:pPr>
        <w:spacing w:after="0" w:line="480" w:lineRule="auto"/>
        <w:ind w:left="993" w:hanging="993"/>
        <w:jc w:val="both"/>
        <w:rPr>
          <w:rFonts w:ascii="Times New Roman" w:hAnsi="Times New Roman"/>
          <w:sz w:val="24"/>
          <w:szCs w:val="24"/>
        </w:rPr>
      </w:pPr>
      <w:r w:rsidRPr="00D14382">
        <w:rPr>
          <w:rFonts w:ascii="Times New Roman" w:hAnsi="Times New Roman"/>
          <w:sz w:val="24"/>
          <w:szCs w:val="24"/>
        </w:rPr>
        <w:t xml:space="preserve">Figure 3. Leukocyte value of tilapia received a combination of betel and kipahit leaf extract treatment after challenge with </w:t>
      </w:r>
      <w:r w:rsidRPr="00D14382">
        <w:rPr>
          <w:rFonts w:ascii="Times New Roman" w:hAnsi="Times New Roman"/>
          <w:i/>
          <w:iCs/>
          <w:sz w:val="24"/>
          <w:szCs w:val="24"/>
        </w:rPr>
        <w:t>S. agalactiae</w:t>
      </w:r>
      <w:r w:rsidRPr="00D14382">
        <w:rPr>
          <w:rFonts w:ascii="Times New Roman" w:hAnsi="Times New Roman"/>
          <w:sz w:val="24"/>
          <w:szCs w:val="24"/>
        </w:rPr>
        <w:t xml:space="preserve"> </w:t>
      </w:r>
    </w:p>
    <w:p w14:paraId="6ED3C767" w14:textId="103B2659" w:rsidR="000901F9" w:rsidRPr="00D14382" w:rsidRDefault="00502BEC" w:rsidP="007D363A">
      <w:pPr>
        <w:spacing w:after="0" w:line="480" w:lineRule="auto"/>
        <w:ind w:firstLine="567"/>
        <w:jc w:val="both"/>
        <w:rPr>
          <w:rFonts w:ascii="Times New Roman" w:hAnsi="Times New Roman"/>
          <w:sz w:val="24"/>
          <w:szCs w:val="24"/>
        </w:rPr>
      </w:pPr>
      <w:r w:rsidRPr="00D14382">
        <w:rPr>
          <w:rFonts w:ascii="Times New Roman" w:hAnsi="Times New Roman"/>
          <w:sz w:val="24"/>
          <w:szCs w:val="24"/>
        </w:rPr>
        <w:t xml:space="preserve">Nilai Tetrazolium yang menggambarkan aktifitas fagositosis dari ikan nila menunjukkan perbedaan antara perlakuan dan kontrol (Gambar 4) Hal ini diduga karena jumlah sel darah putih dari kelompok perlakuan cenderung lebih banyak dibandingkan kontrol. Hasil yang sama diperoleh oleh penelitian </w:t>
      </w:r>
      <w:r w:rsidRPr="00D14382">
        <w:rPr>
          <w:rFonts w:ascii="Times New Roman" w:hAnsi="Times New Roman"/>
          <w:sz w:val="24"/>
          <w:szCs w:val="24"/>
        </w:rPr>
        <w:fldChar w:fldCharType="begin"/>
      </w:r>
      <w:r w:rsidR="000C41F5">
        <w:rPr>
          <w:rFonts w:ascii="Times New Roman" w:hAnsi="Times New Roman"/>
          <w:sz w:val="24"/>
          <w:szCs w:val="24"/>
        </w:rPr>
        <w:instrText xml:space="preserve"> ADDIN ZOTERO_ITEM CSL_CITATION {"citationID":"HjvA6cuz","properties":{"formattedCitation":"(Baba et al. 2016)","plainCitation":"(Baba et al. 2016)","dontUpdate":true,"noteIndex":0},"citationItems":[{"id":5480,"uris":["http://zotero.org/users/5375416/items/MH7UPDL7"],"uri":["http://zotero.org/users/5375416/items/MH7UPDL7"],"itemData":{"id":5480,"type":"article-journal","abstract":"The present study was carried on to determine the effects of Citrus limon peel essential oil as feed supplement on non-specific immune system, disease resistance against Edwardsiella tarda and growth performance in Mozambique tilapia (Oreochromis mossambicus). Fish were randomly distributed at 25 fish per 50 L aquariums and fed with commercial diets supplemented with different ratios (0% for the control group and then 0.5%, 0.75% and 1%) of limon essential oil for 60 days. At the end of the feeding trial, immunological, biochemical and biometrical parameters were assessed. Also following 60 days of feeding, the fish were injected with E. tarda and mortalities were recorded. Results showed that C. limon peel essential oil supplementation diet enhanced the Nitro blue tetrazolium (NBT) positive cell count and total white blood cell (WBC) in tilapia. At the same time a significant change was found in the lysozyme activity and myeloperoxidase activity in serum. Serum glucose, cholesterol and triglycerides decreased while total protein increased in the groups fed with C. limon essential oil supplemented diets. All C. limon peel essential oil supplemented groups showed reduced mortalities following E. tarda infection compared with the control group. The results indicated that C. limon peel essential oil supplementation could improve nonspecific immune parameters and growth performance and decrease mortality rate of cultured tilapia.","container-title":"Aquaculture","DOI":"10.1016/j.aquaculture.2016.08.023","ISSN":"00448486","journalAbbreviation":"Aquaculture","language":"en","page":"13-18","source":"DOI.org (Crossref)","title":"Evaluation of Citrus limon peels essential oil on growth performance, immune response of Mozambique tilapia Oreochromis mossambicus challenged with Edwardsiella tarda","volume":"465","author":[{"family":"Baba","given":"Esin"},{"family":"Acar","given":"Ümit"},{"family":"Öntaş","given":"Canan"},{"family":"Kesbiç","given":"Osman Sabri"},{"family":"Yılmaz","given":"Sevdan"}],"issued":{"date-parts":[["2016",12]]}}}],"schema":"https://github.com/citation-style-language/schema/raw/master/csl-citation.json"} </w:instrText>
      </w:r>
      <w:r w:rsidRPr="00D14382">
        <w:rPr>
          <w:rFonts w:ascii="Times New Roman" w:hAnsi="Times New Roman"/>
          <w:sz w:val="24"/>
          <w:szCs w:val="24"/>
        </w:rPr>
        <w:fldChar w:fldCharType="separate"/>
      </w:r>
      <w:r w:rsidRPr="00D14382">
        <w:rPr>
          <w:rFonts w:ascii="Times New Roman" w:hAnsi="Times New Roman"/>
          <w:sz w:val="24"/>
          <w:szCs w:val="24"/>
        </w:rPr>
        <w:t xml:space="preserve">Baba </w:t>
      </w:r>
      <w:r w:rsidR="000C41F5" w:rsidRPr="000C41F5">
        <w:rPr>
          <w:rFonts w:ascii="Times New Roman" w:hAnsi="Times New Roman"/>
          <w:i/>
          <w:iCs/>
          <w:sz w:val="24"/>
          <w:szCs w:val="24"/>
        </w:rPr>
        <w:t>et al</w:t>
      </w:r>
      <w:r w:rsidRPr="00D14382">
        <w:rPr>
          <w:rFonts w:ascii="Times New Roman" w:hAnsi="Times New Roman"/>
          <w:sz w:val="24"/>
          <w:szCs w:val="24"/>
        </w:rPr>
        <w:t>. (2016)</w:t>
      </w:r>
      <w:r w:rsidRPr="00D14382">
        <w:rPr>
          <w:rFonts w:ascii="Times New Roman" w:hAnsi="Times New Roman"/>
          <w:sz w:val="24"/>
          <w:szCs w:val="24"/>
        </w:rPr>
        <w:fldChar w:fldCharType="end"/>
      </w:r>
      <w:r w:rsidRPr="00D14382">
        <w:rPr>
          <w:rFonts w:ascii="Times New Roman" w:hAnsi="Times New Roman"/>
          <w:sz w:val="24"/>
          <w:szCs w:val="24"/>
        </w:rPr>
        <w:t xml:space="preserve">. </w:t>
      </w:r>
    </w:p>
    <w:p w14:paraId="4D95BBD2" w14:textId="77777777" w:rsidR="00502BEC" w:rsidRPr="00D14382" w:rsidRDefault="00502BEC" w:rsidP="000004FB">
      <w:pPr>
        <w:spacing w:after="0" w:line="480" w:lineRule="auto"/>
        <w:jc w:val="both"/>
        <w:rPr>
          <w:rFonts w:ascii="Times New Roman" w:hAnsi="Times New Roman"/>
          <w:sz w:val="24"/>
          <w:szCs w:val="24"/>
          <w:lang w:val="id-ID"/>
        </w:rPr>
      </w:pPr>
    </w:p>
    <w:p w14:paraId="04533571" w14:textId="4A312C0C" w:rsidR="0067752C" w:rsidRPr="00D14382" w:rsidRDefault="00D14382" w:rsidP="000004FB">
      <w:pPr>
        <w:spacing w:after="0" w:line="480" w:lineRule="auto"/>
        <w:jc w:val="both"/>
        <w:rPr>
          <w:rFonts w:ascii="Times New Roman" w:hAnsi="Times New Roman"/>
          <w:sz w:val="24"/>
          <w:szCs w:val="24"/>
          <w:lang w:val="id-ID"/>
        </w:rPr>
      </w:pPr>
      <w:r w:rsidRPr="00D14382">
        <w:rPr>
          <w:rFonts w:ascii="Times New Roman" w:hAnsi="Times New Roman"/>
          <w:noProof/>
          <w:sz w:val="24"/>
          <w:szCs w:val="24"/>
          <w:lang w:val="id-ID" w:eastAsia="id-ID"/>
        </w:rPr>
        <w:lastRenderedPageBreak/>
        <w:drawing>
          <wp:inline distT="0" distB="0" distL="0" distR="0" wp14:anchorId="1EEEE831" wp14:editId="63E102B1">
            <wp:extent cx="4572000" cy="2743200"/>
            <wp:effectExtent l="0" t="0" r="0" b="0"/>
            <wp:docPr id="10"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35F4D7" w14:textId="77777777" w:rsidR="009401AA" w:rsidRPr="00D14382" w:rsidRDefault="00502BEC" w:rsidP="000004FB">
      <w:pPr>
        <w:spacing w:after="0" w:line="480" w:lineRule="auto"/>
        <w:ind w:left="1134" w:hanging="1134"/>
        <w:jc w:val="both"/>
        <w:rPr>
          <w:rFonts w:ascii="Times New Roman" w:hAnsi="Times New Roman"/>
          <w:i/>
          <w:iCs/>
          <w:sz w:val="24"/>
          <w:szCs w:val="24"/>
        </w:rPr>
      </w:pPr>
      <w:r w:rsidRPr="00D14382">
        <w:rPr>
          <w:rFonts w:ascii="Times New Roman" w:hAnsi="Times New Roman"/>
          <w:sz w:val="24"/>
          <w:szCs w:val="24"/>
        </w:rPr>
        <w:t xml:space="preserve">Gambar </w:t>
      </w:r>
      <w:r w:rsidR="003213DD" w:rsidRPr="00D14382">
        <w:rPr>
          <w:rFonts w:ascii="Times New Roman" w:hAnsi="Times New Roman"/>
          <w:sz w:val="24"/>
          <w:szCs w:val="24"/>
        </w:rPr>
        <w:t>4</w:t>
      </w:r>
      <w:r w:rsidRPr="00D14382">
        <w:rPr>
          <w:rFonts w:ascii="Times New Roman" w:hAnsi="Times New Roman"/>
          <w:sz w:val="24"/>
          <w:szCs w:val="24"/>
        </w:rPr>
        <w:t xml:space="preserve">. Nitroblie tetrazolium ikan nila yang menerima perlakuan tanaman kombinasi ekstrak daun sirih dan kipahit setelah uji tantang dengan bakteri </w:t>
      </w:r>
      <w:r w:rsidRPr="00D14382">
        <w:rPr>
          <w:rFonts w:ascii="Times New Roman" w:hAnsi="Times New Roman"/>
          <w:i/>
          <w:iCs/>
          <w:sz w:val="24"/>
          <w:szCs w:val="24"/>
        </w:rPr>
        <w:t>S. agalactiae</w:t>
      </w:r>
    </w:p>
    <w:p w14:paraId="3BFE85D7" w14:textId="77777777" w:rsidR="002F4FF0" w:rsidRPr="00D14382" w:rsidRDefault="002F4FF0" w:rsidP="000004FB">
      <w:pPr>
        <w:spacing w:after="0" w:line="480" w:lineRule="auto"/>
        <w:ind w:left="993" w:hanging="993"/>
        <w:jc w:val="both"/>
        <w:rPr>
          <w:rFonts w:ascii="Times New Roman" w:hAnsi="Times New Roman"/>
          <w:sz w:val="24"/>
          <w:szCs w:val="24"/>
        </w:rPr>
      </w:pPr>
      <w:r w:rsidRPr="00D14382">
        <w:rPr>
          <w:rFonts w:ascii="Times New Roman" w:hAnsi="Times New Roman"/>
          <w:sz w:val="24"/>
          <w:szCs w:val="24"/>
        </w:rPr>
        <w:t xml:space="preserve">Figure 4. Nitoblue tetrazolium value of tilapia received a combination of betel and kipahit leaf extract treatment after challenge with </w:t>
      </w:r>
      <w:r w:rsidRPr="00D14382">
        <w:rPr>
          <w:rFonts w:ascii="Times New Roman" w:hAnsi="Times New Roman"/>
          <w:i/>
          <w:iCs/>
          <w:sz w:val="24"/>
          <w:szCs w:val="24"/>
        </w:rPr>
        <w:t>S. agalactiae</w:t>
      </w:r>
      <w:r w:rsidRPr="00D14382">
        <w:rPr>
          <w:rFonts w:ascii="Times New Roman" w:hAnsi="Times New Roman"/>
          <w:sz w:val="24"/>
          <w:szCs w:val="24"/>
        </w:rPr>
        <w:t xml:space="preserve"> </w:t>
      </w:r>
    </w:p>
    <w:p w14:paraId="6A1D8413" w14:textId="0A5694AC" w:rsidR="00502BEC" w:rsidRPr="00D14382" w:rsidRDefault="00502BEC" w:rsidP="007D363A">
      <w:pPr>
        <w:spacing w:after="0" w:line="480" w:lineRule="auto"/>
        <w:ind w:firstLine="567"/>
        <w:jc w:val="both"/>
        <w:rPr>
          <w:rFonts w:ascii="Times New Roman" w:hAnsi="Times New Roman"/>
          <w:sz w:val="24"/>
          <w:szCs w:val="24"/>
          <w:lang w:val="id-ID"/>
        </w:rPr>
      </w:pPr>
      <w:r w:rsidRPr="00D14382">
        <w:rPr>
          <w:rFonts w:ascii="Times New Roman" w:hAnsi="Times New Roman"/>
          <w:sz w:val="24"/>
          <w:szCs w:val="24"/>
        </w:rPr>
        <w:t>Demikian juga nilai dari aktifitas lisosim yang terdeteksi dari serum</w:t>
      </w:r>
      <w:r w:rsidR="003213DD" w:rsidRPr="00D14382">
        <w:rPr>
          <w:rFonts w:ascii="Times New Roman" w:hAnsi="Times New Roman"/>
          <w:sz w:val="24"/>
          <w:szCs w:val="24"/>
        </w:rPr>
        <w:t>, pada kelompok perlakuan cenderung lebih tinggi dibandingkan kelompok kontrol (Gambar 5).</w:t>
      </w:r>
      <w:r w:rsidRPr="00D14382">
        <w:rPr>
          <w:rFonts w:ascii="Times New Roman" w:hAnsi="Times New Roman"/>
          <w:sz w:val="24"/>
          <w:szCs w:val="24"/>
        </w:rPr>
        <w:t xml:space="preserve"> </w:t>
      </w:r>
      <w:r w:rsidR="003213DD" w:rsidRPr="00D14382">
        <w:rPr>
          <w:rFonts w:ascii="Times New Roman" w:hAnsi="Times New Roman"/>
          <w:sz w:val="24"/>
          <w:szCs w:val="24"/>
        </w:rPr>
        <w:t>P</w:t>
      </w:r>
      <w:r w:rsidRPr="00D14382">
        <w:rPr>
          <w:rFonts w:ascii="Times New Roman" w:hAnsi="Times New Roman"/>
          <w:sz w:val="24"/>
          <w:szCs w:val="24"/>
        </w:rPr>
        <w:t>enelitian yang sama menun</w:t>
      </w:r>
      <w:r w:rsidR="003213DD" w:rsidRPr="00D14382">
        <w:rPr>
          <w:rFonts w:ascii="Times New Roman" w:hAnsi="Times New Roman"/>
          <w:sz w:val="24"/>
          <w:szCs w:val="24"/>
        </w:rPr>
        <w:t>j</w:t>
      </w:r>
      <w:r w:rsidRPr="00D14382">
        <w:rPr>
          <w:rFonts w:ascii="Times New Roman" w:hAnsi="Times New Roman"/>
          <w:sz w:val="24"/>
          <w:szCs w:val="24"/>
        </w:rPr>
        <w:t xml:space="preserve">ukkan adanya kenaikan aktifitas lisosim dari ikan nila yang menerima perlakuan. Lisosim </w:t>
      </w:r>
      <w:r w:rsidR="003213DD" w:rsidRPr="00D14382">
        <w:rPr>
          <w:rFonts w:ascii="Times New Roman" w:hAnsi="Times New Roman"/>
          <w:sz w:val="24"/>
          <w:szCs w:val="24"/>
        </w:rPr>
        <w:t>adalah system pertahanan humoral dari ikan yang mampu memicu hidolisis dari dinding sel bakteri</w:t>
      </w:r>
      <w:r w:rsidR="00490C1D" w:rsidRPr="00D14382">
        <w:rPr>
          <w:rFonts w:ascii="Times New Roman" w:hAnsi="Times New Roman"/>
          <w:sz w:val="24"/>
          <w:szCs w:val="24"/>
        </w:rPr>
        <w:t>, d</w:t>
      </w:r>
      <w:r w:rsidR="003213DD" w:rsidRPr="00D14382">
        <w:rPr>
          <w:rFonts w:ascii="Times New Roman" w:hAnsi="Times New Roman"/>
          <w:sz w:val="24"/>
          <w:szCs w:val="24"/>
        </w:rPr>
        <w:t>itemukan di serum</w:t>
      </w:r>
      <w:r w:rsidR="00490C1D" w:rsidRPr="00D14382">
        <w:rPr>
          <w:rFonts w:ascii="Times New Roman" w:hAnsi="Times New Roman"/>
          <w:sz w:val="24"/>
          <w:szCs w:val="24"/>
        </w:rPr>
        <w:t xml:space="preserve"> dan lender (</w:t>
      </w:r>
      <w:r w:rsidR="00490C1D" w:rsidRPr="00D14382">
        <w:rPr>
          <w:rFonts w:ascii="Times New Roman" w:hAnsi="Times New Roman"/>
          <w:i/>
          <w:iCs/>
          <w:sz w:val="24"/>
          <w:szCs w:val="24"/>
        </w:rPr>
        <w:t>mucus</w:t>
      </w:r>
      <w:r w:rsidR="00490C1D" w:rsidRPr="00D14382">
        <w:rPr>
          <w:rFonts w:ascii="Times New Roman" w:hAnsi="Times New Roman"/>
          <w:sz w:val="24"/>
          <w:szCs w:val="24"/>
        </w:rPr>
        <w:t>)</w:t>
      </w:r>
      <w:r w:rsidR="003213DD" w:rsidRPr="00D14382">
        <w:rPr>
          <w:rFonts w:ascii="Times New Roman" w:hAnsi="Times New Roman"/>
          <w:sz w:val="24"/>
          <w:szCs w:val="24"/>
        </w:rPr>
        <w:t xml:space="preserve"> </w:t>
      </w:r>
      <w:r w:rsidR="003213DD" w:rsidRPr="00D14382">
        <w:rPr>
          <w:rFonts w:ascii="Times New Roman" w:hAnsi="Times New Roman"/>
          <w:sz w:val="24"/>
          <w:szCs w:val="24"/>
        </w:rPr>
        <w:fldChar w:fldCharType="begin"/>
      </w:r>
      <w:r w:rsidR="000C41F5">
        <w:rPr>
          <w:rFonts w:ascii="Times New Roman" w:hAnsi="Times New Roman"/>
          <w:sz w:val="24"/>
          <w:szCs w:val="24"/>
        </w:rPr>
        <w:instrText xml:space="preserve"> ADDIN ZOTERO_ITEM CSL_CITATION {"citationID":"Jus4eNN3","properties":{"formattedCitation":"(Vallejos-Vidal et al. 2016)","plainCitation":"(Vallejos-Vidal et al. 2016)","noteIndex":0},"citationItems":[{"id":5487,"uris":["http://zotero.org/users/5375416/items/7S7N96R6"],"uri":["http://zotero.org/users/5375416/items/7S7N96R6"],"itemData":{"id":5487,"type":"article-journal","container-title":"Fish &amp; Shellfish Immunology","DOI":"10.1016/j.fsi.2016.06.028","ISSN":"10504648","journalAbbreviation":"Fish &amp; Shellfish Immunology","language":"en","page":"34-69","source":"DOI.org (Crossref)","title":"The response of fish to immunostimulant diets","volume":"56","author":[{"family":"Vallejos-Vidal","given":"Eva"},{"family":"Reyes-López","given":"Felipe"},{"family":"Teles","given":"Mariana"},{"family":"MacKenzie","given":"Simon"}],"issued":{"date-parts":[["2016",9]]}}}],"schema":"https://github.com/citation-style-language/schema/raw/master/csl-citation.json"} </w:instrText>
      </w:r>
      <w:r w:rsidR="003213DD" w:rsidRPr="00D14382">
        <w:rPr>
          <w:rFonts w:ascii="Times New Roman" w:hAnsi="Times New Roman"/>
          <w:sz w:val="24"/>
          <w:szCs w:val="24"/>
        </w:rPr>
        <w:fldChar w:fldCharType="separate"/>
      </w:r>
      <w:r w:rsidR="00490C1D" w:rsidRPr="00D14382">
        <w:rPr>
          <w:rFonts w:ascii="Times New Roman" w:hAnsi="Times New Roman"/>
          <w:sz w:val="24"/>
          <w:szCs w:val="24"/>
        </w:rPr>
        <w:t xml:space="preserve">(Vallejos-Vidal </w:t>
      </w:r>
      <w:r w:rsidR="000C41F5" w:rsidRPr="000C41F5">
        <w:rPr>
          <w:rFonts w:ascii="Times New Roman" w:hAnsi="Times New Roman"/>
          <w:i/>
          <w:iCs/>
          <w:sz w:val="24"/>
          <w:szCs w:val="24"/>
        </w:rPr>
        <w:t>et al</w:t>
      </w:r>
      <w:r w:rsidR="00490C1D" w:rsidRPr="00D14382">
        <w:rPr>
          <w:rFonts w:ascii="Times New Roman" w:hAnsi="Times New Roman"/>
          <w:sz w:val="24"/>
          <w:szCs w:val="24"/>
        </w:rPr>
        <w:t>. 2016)</w:t>
      </w:r>
      <w:r w:rsidR="003213DD" w:rsidRPr="00D14382">
        <w:rPr>
          <w:rFonts w:ascii="Times New Roman" w:hAnsi="Times New Roman"/>
          <w:sz w:val="24"/>
          <w:szCs w:val="24"/>
        </w:rPr>
        <w:fldChar w:fldCharType="end"/>
      </w:r>
      <w:r w:rsidR="003213DD" w:rsidRPr="00D14382">
        <w:rPr>
          <w:rFonts w:ascii="Times New Roman" w:hAnsi="Times New Roman"/>
          <w:sz w:val="24"/>
          <w:szCs w:val="24"/>
        </w:rPr>
        <w:t xml:space="preserve">. Naiknya aktifitas lisosim akibat penambahan tanaman obat diduga akibat adanya interaksi antara kandungan tanaman obat berupa flavonoid dengan lisosim, perlu dicatat bahwa interaksi ini sangat tergantung pada posisi hydrogen dan glikosil </w:t>
      </w:r>
      <w:r w:rsidR="003213DD" w:rsidRPr="00D14382">
        <w:rPr>
          <w:rFonts w:ascii="Times New Roman" w:hAnsi="Times New Roman"/>
          <w:sz w:val="24"/>
          <w:szCs w:val="24"/>
        </w:rPr>
        <w:fldChar w:fldCharType="begin"/>
      </w:r>
      <w:r w:rsidR="000C41F5">
        <w:rPr>
          <w:rFonts w:ascii="Times New Roman" w:hAnsi="Times New Roman"/>
          <w:sz w:val="24"/>
          <w:szCs w:val="24"/>
        </w:rPr>
        <w:instrText xml:space="preserve"> ADDIN ZOTERO_ITEM CSL_CITATION {"citationID":"YrKbgJfZ","properties":{"formattedCitation":"(Yang et al. 2012)","plainCitation":"(Yang et al. 2012)","noteIndex":0},"citationItems":[{"id":2979,"uris":["http://zotero.org/users/5375416/items/VCRNQL5Y"],"uri":["http://zotero.org/users/5375416/items/VCRNQL5Y"],"itemData":{"id":2979,"type":"article-journal","abstract":"In this work, the interactions of twelve structurally different flavonoids with Lysozyme (Lys) were studied by fluorescence quenching method. The interaction mechanism and binding properties were investigated. It was found that the binding capacities of flavonoids to Lys were highly depend on the number and position of hydrogen, the kind and position of glycosyl. To explore the selectivity of the bindings of flavonoids with Lys, the structure descriptors of the flavonoids were calculated under QSAR software package of Cerius2, the quantitative relationship between the structures of flavonoids and their binding activities to Lys (QSAR) was performed through genetic function approximation (GFA) regression analysis. The QSAR regression equation was K(A) = 37850.460 + 1630.01Dipole +3038.330HD-171.795MR. (r = 0.858, r(CV)(2) = 0.444, F((11,3)) = 7.48), where K(A) is binding constants, Dipole, HD and MR was dipole moment, number of hydrogen-bond donor and molecular refractivity, respectively. The obtained results make us understand better how the molecular structures influencing their binding to protein which may open up new avenues for the design of the most suitable flavonoids derivatives with structure variants.","container-title":"Journal of Fluorescence","DOI":"10.1007/s10895-012-1082-9","ISSN":"1573-4994 (Electronic) 1053-0509 (Linking)","issue":"6","page":"1449-1459","title":"The interaction of flavonoid-lysozyme and the relationship between molecular structure of flavonoids and their binding activity to lysozyme","volume":"22","author":[{"family":"Yang","given":"Ran"},{"family":"Yu","given":"Lanlan"},{"family":"Zeng","given":"Huajin"},{"family":"Liang","given":"Ruiling"},{"family":"Chen","given":"Xiaolan"},{"family":"Qu","given":"Lingbo"}],"issued":{"date-parts":[["2012"]]}}}],"schema":"https://github.com/citation-style-language/schema/raw/master/csl-citation.json"} </w:instrText>
      </w:r>
      <w:r w:rsidR="003213DD" w:rsidRPr="00D14382">
        <w:rPr>
          <w:rFonts w:ascii="Times New Roman" w:hAnsi="Times New Roman"/>
          <w:sz w:val="24"/>
          <w:szCs w:val="24"/>
        </w:rPr>
        <w:fldChar w:fldCharType="separate"/>
      </w:r>
      <w:r w:rsidR="003213DD" w:rsidRPr="00D14382">
        <w:rPr>
          <w:rFonts w:ascii="Times New Roman" w:hAnsi="Times New Roman"/>
          <w:sz w:val="24"/>
          <w:szCs w:val="24"/>
        </w:rPr>
        <w:t xml:space="preserve">(Yang </w:t>
      </w:r>
      <w:r w:rsidR="000C41F5" w:rsidRPr="000C41F5">
        <w:rPr>
          <w:rFonts w:ascii="Times New Roman" w:hAnsi="Times New Roman"/>
          <w:i/>
          <w:iCs/>
          <w:sz w:val="24"/>
          <w:szCs w:val="24"/>
        </w:rPr>
        <w:t>et al</w:t>
      </w:r>
      <w:r w:rsidR="003213DD" w:rsidRPr="00D14382">
        <w:rPr>
          <w:rFonts w:ascii="Times New Roman" w:hAnsi="Times New Roman"/>
          <w:sz w:val="24"/>
          <w:szCs w:val="24"/>
        </w:rPr>
        <w:t>. 2012)</w:t>
      </w:r>
      <w:r w:rsidR="003213DD" w:rsidRPr="00D14382">
        <w:rPr>
          <w:rFonts w:ascii="Times New Roman" w:hAnsi="Times New Roman"/>
          <w:sz w:val="24"/>
          <w:szCs w:val="24"/>
        </w:rPr>
        <w:fldChar w:fldCharType="end"/>
      </w:r>
      <w:r w:rsidR="00A57374">
        <w:rPr>
          <w:rFonts w:ascii="Times New Roman" w:hAnsi="Times New Roman"/>
          <w:sz w:val="24"/>
          <w:szCs w:val="24"/>
        </w:rPr>
        <w:t>.</w:t>
      </w:r>
    </w:p>
    <w:p w14:paraId="0960B728" w14:textId="43C46FF8" w:rsidR="009401AA" w:rsidRPr="00D14382" w:rsidRDefault="00D14382" w:rsidP="000004FB">
      <w:pPr>
        <w:spacing w:after="0" w:line="480" w:lineRule="auto"/>
        <w:jc w:val="both"/>
        <w:rPr>
          <w:rFonts w:ascii="Times New Roman" w:hAnsi="Times New Roman"/>
          <w:sz w:val="24"/>
          <w:szCs w:val="24"/>
          <w:lang w:val="id-ID"/>
        </w:rPr>
      </w:pPr>
      <w:r w:rsidRPr="00D14382">
        <w:rPr>
          <w:rFonts w:ascii="Times New Roman" w:hAnsi="Times New Roman"/>
          <w:noProof/>
          <w:sz w:val="24"/>
          <w:szCs w:val="24"/>
          <w:lang w:val="id-ID" w:eastAsia="id-ID"/>
        </w:rPr>
        <w:lastRenderedPageBreak/>
        <w:drawing>
          <wp:inline distT="0" distB="0" distL="0" distR="0" wp14:anchorId="4E4E5DEA" wp14:editId="770CDE98">
            <wp:extent cx="4572000" cy="2743200"/>
            <wp:effectExtent l="0" t="0" r="0" b="0"/>
            <wp:docPr id="11"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5F1C5F" w14:textId="77777777" w:rsidR="003213DD" w:rsidRPr="00D14382" w:rsidRDefault="003213DD" w:rsidP="000004FB">
      <w:pPr>
        <w:spacing w:after="0" w:line="480" w:lineRule="auto"/>
        <w:ind w:left="1134" w:hanging="1134"/>
        <w:jc w:val="both"/>
        <w:rPr>
          <w:rFonts w:ascii="Times New Roman" w:hAnsi="Times New Roman"/>
          <w:i/>
          <w:iCs/>
          <w:sz w:val="24"/>
          <w:szCs w:val="24"/>
        </w:rPr>
      </w:pPr>
      <w:r w:rsidRPr="00D14382">
        <w:rPr>
          <w:rFonts w:ascii="Times New Roman" w:hAnsi="Times New Roman"/>
          <w:sz w:val="24"/>
          <w:szCs w:val="24"/>
        </w:rPr>
        <w:t xml:space="preserve">Gambar 5. Aktifitas lisosim ikan nila yang menerima perlakuan tanaman kombinasi ekstrak daun sirih dan kipahit setelah uji tantang dengan bakteri </w:t>
      </w:r>
      <w:r w:rsidRPr="00D14382">
        <w:rPr>
          <w:rFonts w:ascii="Times New Roman" w:hAnsi="Times New Roman"/>
          <w:i/>
          <w:iCs/>
          <w:sz w:val="24"/>
          <w:szCs w:val="24"/>
        </w:rPr>
        <w:t>S. agalactiae</w:t>
      </w:r>
    </w:p>
    <w:p w14:paraId="01D0541D" w14:textId="77777777" w:rsidR="002F4FF0" w:rsidRPr="00D14382" w:rsidRDefault="002F4FF0" w:rsidP="000004FB">
      <w:pPr>
        <w:spacing w:after="0" w:line="480" w:lineRule="auto"/>
        <w:ind w:left="993" w:hanging="993"/>
        <w:jc w:val="both"/>
        <w:rPr>
          <w:rFonts w:ascii="Times New Roman" w:hAnsi="Times New Roman"/>
          <w:sz w:val="24"/>
          <w:szCs w:val="24"/>
        </w:rPr>
      </w:pPr>
      <w:r w:rsidRPr="00D14382">
        <w:rPr>
          <w:rFonts w:ascii="Times New Roman" w:hAnsi="Times New Roman"/>
          <w:sz w:val="24"/>
          <w:szCs w:val="24"/>
        </w:rPr>
        <w:t xml:space="preserve">Figure 5. Lysosyme activity of tilapia received a combination of betel and kipahit leaf extract treatment after challenge with </w:t>
      </w:r>
      <w:r w:rsidRPr="00D14382">
        <w:rPr>
          <w:rFonts w:ascii="Times New Roman" w:hAnsi="Times New Roman"/>
          <w:i/>
          <w:iCs/>
          <w:sz w:val="24"/>
          <w:szCs w:val="24"/>
        </w:rPr>
        <w:t>S. agalactiae</w:t>
      </w:r>
      <w:r w:rsidRPr="00D14382">
        <w:rPr>
          <w:rFonts w:ascii="Times New Roman" w:hAnsi="Times New Roman"/>
          <w:sz w:val="24"/>
          <w:szCs w:val="24"/>
        </w:rPr>
        <w:t xml:space="preserve"> </w:t>
      </w:r>
    </w:p>
    <w:p w14:paraId="303789B8" w14:textId="21C7AA68" w:rsidR="003213DD" w:rsidRPr="00D14382" w:rsidRDefault="003213DD" w:rsidP="007D363A">
      <w:pPr>
        <w:spacing w:after="0" w:line="480" w:lineRule="auto"/>
        <w:ind w:firstLine="567"/>
        <w:jc w:val="both"/>
        <w:rPr>
          <w:rFonts w:ascii="Times New Roman" w:hAnsi="Times New Roman"/>
          <w:sz w:val="24"/>
          <w:szCs w:val="24"/>
        </w:rPr>
      </w:pPr>
      <w:r w:rsidRPr="00D14382">
        <w:rPr>
          <w:rFonts w:ascii="Times New Roman" w:hAnsi="Times New Roman"/>
          <w:sz w:val="24"/>
          <w:szCs w:val="24"/>
        </w:rPr>
        <w:t xml:space="preserve">Pada pengukuran pertumbuhan ikan yang menerima perlakuan menunjukkan </w:t>
      </w:r>
      <w:r w:rsidR="005E621F" w:rsidRPr="00D14382">
        <w:rPr>
          <w:rFonts w:ascii="Times New Roman" w:hAnsi="Times New Roman"/>
          <w:sz w:val="24"/>
          <w:szCs w:val="24"/>
        </w:rPr>
        <w:t xml:space="preserve">tidak adanya efek negative yang biasa terlihat dari pakan yang suplemen tanaman obat, hal ini diduga karena yang digunakan adalah ekstrak dari tanaman sirih dan kipahit dimana serat dari tanaman sudah dieliminasi. Meskipun pertubuhan Panjang dari kelompok perlakuan terlihat tidak berbeda dibandingkan kelompok kontrol (Gambar 6), namun pada pertumbuhan berat kelompok perlakuan cenderung lebih bik dibandingkan dengan kelompok kontrol (Gambar 7). Penambahan tanaman obat tertentu memang diketahui mampu meningktakan pertumbuhan seperti penelitian </w:t>
      </w:r>
      <w:r w:rsidR="005E621F" w:rsidRPr="00D14382">
        <w:rPr>
          <w:rFonts w:ascii="Times New Roman" w:hAnsi="Times New Roman"/>
          <w:sz w:val="24"/>
          <w:szCs w:val="24"/>
        </w:rPr>
        <w:fldChar w:fldCharType="begin"/>
      </w:r>
      <w:r w:rsidR="000C41F5">
        <w:rPr>
          <w:rFonts w:ascii="Times New Roman" w:hAnsi="Times New Roman"/>
          <w:sz w:val="24"/>
          <w:szCs w:val="24"/>
        </w:rPr>
        <w:instrText xml:space="preserve"> ADDIN ZOTERO_ITEM CSL_CITATION {"citationID":"XUwhkUkV","properties":{"formattedCitation":"(Abdel-Tawwab et al. 2010)","plainCitation":"(Abdel-Tawwab et al. 2010)","dontUpdate":true,"noteIndex":0},"citationItems":[{"id":5482,"uris":["http://zotero.org/users/5375416/items/4GWPU7AR"],"uri":["http://zotero.org/users/5375416/items/4GWPU7AR"],"itemData":{"id":5482,"type":"article-journal","abstract":"The microbial diseases cause economic losses in aquaculture on global scale and the use of commercial antibiotics for disease treatment produces undesirable side effects. Because many medicinal herbs have evolved potent defense against pathogenic bacteria, there is a growing interest in these herbs as sources for natural antibacterial agents. In this context, green tea (GT), Camellia sinensis L., is considered as a promising source that may be used for improving the growth, survival, and protection of Nile tilapia, Oreochromis niloticus, against Aeromonas hydrophila infection. The present study was undertaken to evaluate the use of GT in practical ﬁsh diets and its impact on ﬁsh growth and health. GT leaves were ground and added to the ingredients of tested diets to represent 0.0 (control), 0.125, 0.25, 0.50, 1.0, or 2.0 g/kg diet. Fish (1.5–2.0 g) were distributed to various treatments at a rate of 20 ﬁsh per 100-L aquarium and fed one of the experimental diets for 12 wk. After the feeding trial, ﬁsh of each treatment were challenged by pathogenic A. hydrophila, and they were kept under observation for 10 d during which abnormal clinical signs and the daily mortality was recorded. The growth-promoting inﬂuences of GT were observed and the optimum growth and feed utilization were obtained at 0.5 g GT/kg diet. The inclusion of GT in ﬁsh diet up to 0.5 g/kg diet enhanced the protein contents in ﬁsh body, while the lowest lipid contents were obtained at 0.0–0.5 g GT/kg diet. Hematological and biochemical parameters were improved in ﬁsh fed 0.25–2.0 g GT/kg diet, while the lowest values were obtained in the control. The survival of ﬁsh challenged with A. hydrophila increased with increasing GT level in ﬁsh diets. These results indicate that GT supplement is promising immunostimulant, which could improve ﬁsh performance, health, and prevent tilapia aermoniosis and the optimum GT level was 0.5 g/kg diet.","container-title":"Journal of the World Aquaculture Society","DOI":"10.1111/j.1749-7345.2010.00360.x","ISSN":"08938849, 17497345","language":"en","page":"203-213","source":"DOI.org (Crossref)","title":"Use of Green Tea, Camellia sinensis L., in Practical Diet for Growth and Protection of Nile Tilapia, Oreochromis niloticus (L.), against Aeromonas hydrophila Infection","volume":"41","author":[{"family":"Abdel-Tawwab","given":"Mohsen"},{"family":"Ahmad","given":"Mohammad H."},{"family":"Seden","given":"Medhat E. A."},{"family":"Sakr","given":"Saleh F. M."}],"issued":{"date-parts":[["2010",5]]}}}],"schema":"https://github.com/citation-style-language/schema/raw/master/csl-citation.json"} </w:instrText>
      </w:r>
      <w:r w:rsidR="005E621F" w:rsidRPr="00D14382">
        <w:rPr>
          <w:rFonts w:ascii="Times New Roman" w:hAnsi="Times New Roman"/>
          <w:sz w:val="24"/>
          <w:szCs w:val="24"/>
        </w:rPr>
        <w:fldChar w:fldCharType="separate"/>
      </w:r>
      <w:r w:rsidR="005E621F" w:rsidRPr="00D14382">
        <w:rPr>
          <w:rFonts w:ascii="Times New Roman" w:hAnsi="Times New Roman"/>
          <w:sz w:val="24"/>
          <w:szCs w:val="24"/>
        </w:rPr>
        <w:t xml:space="preserve">Abdel-Tawwab </w:t>
      </w:r>
      <w:r w:rsidR="000C41F5" w:rsidRPr="000C41F5">
        <w:rPr>
          <w:rFonts w:ascii="Times New Roman" w:hAnsi="Times New Roman"/>
          <w:i/>
          <w:iCs/>
          <w:sz w:val="24"/>
          <w:szCs w:val="24"/>
        </w:rPr>
        <w:t>et al</w:t>
      </w:r>
      <w:r w:rsidR="005E621F" w:rsidRPr="00D14382">
        <w:rPr>
          <w:rFonts w:ascii="Times New Roman" w:hAnsi="Times New Roman"/>
          <w:sz w:val="24"/>
          <w:szCs w:val="24"/>
        </w:rPr>
        <w:t>. (2010)</w:t>
      </w:r>
      <w:r w:rsidR="005E621F" w:rsidRPr="00D14382">
        <w:rPr>
          <w:rFonts w:ascii="Times New Roman" w:hAnsi="Times New Roman"/>
          <w:sz w:val="24"/>
          <w:szCs w:val="24"/>
        </w:rPr>
        <w:fldChar w:fldCharType="end"/>
      </w:r>
      <w:r w:rsidR="005E621F" w:rsidRPr="00D14382">
        <w:rPr>
          <w:rFonts w:ascii="Times New Roman" w:hAnsi="Times New Roman"/>
          <w:sz w:val="24"/>
          <w:szCs w:val="24"/>
        </w:rPr>
        <w:t xml:space="preserve"> yang menggunakan suplementasi daun teh pada ikan nila</w:t>
      </w:r>
      <w:r w:rsidR="00E3113C" w:rsidRPr="00D14382">
        <w:rPr>
          <w:rFonts w:ascii="Times New Roman" w:hAnsi="Times New Roman"/>
          <w:sz w:val="24"/>
          <w:szCs w:val="24"/>
        </w:rPr>
        <w:t xml:space="preserve">. Pertumbuhan yang lebih baik dari kelompok perlakuan diduga naiknya </w:t>
      </w:r>
      <w:r w:rsidR="00E3113C" w:rsidRPr="00D14382">
        <w:rPr>
          <w:rFonts w:ascii="Times New Roman" w:hAnsi="Times New Roman"/>
          <w:i/>
          <w:iCs/>
          <w:sz w:val="24"/>
          <w:szCs w:val="24"/>
        </w:rPr>
        <w:t xml:space="preserve">feed intake </w:t>
      </w:r>
      <w:r w:rsidR="00E3113C" w:rsidRPr="00D14382">
        <w:rPr>
          <w:rFonts w:ascii="Times New Roman" w:hAnsi="Times New Roman"/>
          <w:sz w:val="24"/>
          <w:szCs w:val="24"/>
        </w:rPr>
        <w:t>dari ikan yang menerima perlakuan.</w:t>
      </w:r>
    </w:p>
    <w:p w14:paraId="5DAB1FA0" w14:textId="667C3C40" w:rsidR="0067752C" w:rsidRPr="00D14382" w:rsidRDefault="00D14382" w:rsidP="000004FB">
      <w:pPr>
        <w:spacing w:after="0" w:line="480" w:lineRule="auto"/>
        <w:jc w:val="both"/>
        <w:rPr>
          <w:rFonts w:ascii="Times New Roman" w:hAnsi="Times New Roman"/>
          <w:sz w:val="24"/>
          <w:szCs w:val="24"/>
          <w:lang w:val="id-ID"/>
        </w:rPr>
      </w:pPr>
      <w:r w:rsidRPr="00D14382">
        <w:rPr>
          <w:rFonts w:ascii="Times New Roman" w:hAnsi="Times New Roman"/>
          <w:noProof/>
          <w:sz w:val="24"/>
          <w:szCs w:val="24"/>
          <w:lang w:val="id-ID" w:eastAsia="id-ID"/>
        </w:rPr>
        <w:lastRenderedPageBreak/>
        <w:drawing>
          <wp:inline distT="0" distB="0" distL="0" distR="0" wp14:anchorId="2F75CA1A" wp14:editId="2A56FEDD">
            <wp:extent cx="4572000" cy="2743200"/>
            <wp:effectExtent l="0" t="0" r="0" b="0"/>
            <wp:docPr id="1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E92E6C" w14:textId="77777777" w:rsidR="00E3113C" w:rsidRPr="00D14382" w:rsidRDefault="00E3113C" w:rsidP="000004FB">
      <w:pPr>
        <w:spacing w:after="0" w:line="480" w:lineRule="auto"/>
        <w:ind w:left="1134" w:hanging="1134"/>
        <w:jc w:val="both"/>
        <w:rPr>
          <w:rFonts w:ascii="Times New Roman" w:hAnsi="Times New Roman"/>
          <w:i/>
          <w:iCs/>
          <w:sz w:val="24"/>
          <w:szCs w:val="24"/>
        </w:rPr>
      </w:pPr>
      <w:r w:rsidRPr="00D14382">
        <w:rPr>
          <w:rFonts w:ascii="Times New Roman" w:hAnsi="Times New Roman"/>
          <w:sz w:val="24"/>
          <w:szCs w:val="24"/>
        </w:rPr>
        <w:t>Gambar 6. Pertumbuhan panjang ikan nila yang menerima perlakuan tanaman kombinasi ekstrak daun sirih dan kipahit</w:t>
      </w:r>
    </w:p>
    <w:p w14:paraId="74A68AEC" w14:textId="77777777" w:rsidR="002F4FF0" w:rsidRPr="00D14382" w:rsidRDefault="002F4FF0" w:rsidP="000004FB">
      <w:pPr>
        <w:spacing w:after="0" w:line="480" w:lineRule="auto"/>
        <w:ind w:left="993" w:hanging="993"/>
        <w:jc w:val="both"/>
        <w:rPr>
          <w:rFonts w:ascii="Times New Roman" w:hAnsi="Times New Roman"/>
          <w:sz w:val="24"/>
          <w:szCs w:val="24"/>
        </w:rPr>
      </w:pPr>
      <w:r w:rsidRPr="00D14382">
        <w:rPr>
          <w:rFonts w:ascii="Times New Roman" w:hAnsi="Times New Roman"/>
          <w:sz w:val="24"/>
          <w:szCs w:val="24"/>
        </w:rPr>
        <w:t xml:space="preserve">Figure 6. Growth length of tilapia received a combination of betel and kipahit leaf extract treatment </w:t>
      </w:r>
    </w:p>
    <w:p w14:paraId="342C6796" w14:textId="77777777" w:rsidR="00E3113C" w:rsidRPr="00D14382" w:rsidRDefault="00E3113C" w:rsidP="000004FB">
      <w:pPr>
        <w:spacing w:after="0" w:line="480" w:lineRule="auto"/>
        <w:jc w:val="both"/>
        <w:rPr>
          <w:rFonts w:ascii="Times New Roman" w:hAnsi="Times New Roman"/>
          <w:sz w:val="24"/>
          <w:szCs w:val="24"/>
          <w:lang w:val="id-ID"/>
        </w:rPr>
      </w:pPr>
    </w:p>
    <w:p w14:paraId="268EB60B" w14:textId="4F100B69" w:rsidR="00DE3A68" w:rsidRPr="00D14382" w:rsidRDefault="00D14382" w:rsidP="000004FB">
      <w:pPr>
        <w:spacing w:after="0" w:line="480" w:lineRule="auto"/>
        <w:jc w:val="both"/>
        <w:rPr>
          <w:rFonts w:ascii="Times New Roman" w:hAnsi="Times New Roman"/>
          <w:sz w:val="24"/>
          <w:szCs w:val="24"/>
          <w:lang w:val="id-ID"/>
        </w:rPr>
      </w:pPr>
      <w:r w:rsidRPr="00D14382">
        <w:rPr>
          <w:rFonts w:ascii="Times New Roman" w:hAnsi="Times New Roman"/>
          <w:noProof/>
          <w:sz w:val="24"/>
          <w:szCs w:val="24"/>
          <w:lang w:val="id-ID" w:eastAsia="id-ID"/>
        </w:rPr>
        <w:drawing>
          <wp:inline distT="0" distB="0" distL="0" distR="0" wp14:anchorId="54D71718" wp14:editId="6A621016">
            <wp:extent cx="4572000" cy="2743200"/>
            <wp:effectExtent l="0" t="0" r="0" b="0"/>
            <wp:docPr id="13"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EA8196" w14:textId="77777777" w:rsidR="00E3113C" w:rsidRPr="00D14382" w:rsidRDefault="00E3113C" w:rsidP="000004FB">
      <w:pPr>
        <w:spacing w:after="0" w:line="480" w:lineRule="auto"/>
        <w:ind w:left="1134" w:hanging="1134"/>
        <w:jc w:val="both"/>
        <w:rPr>
          <w:rFonts w:ascii="Times New Roman" w:hAnsi="Times New Roman"/>
          <w:sz w:val="24"/>
          <w:szCs w:val="24"/>
        </w:rPr>
      </w:pPr>
      <w:r w:rsidRPr="00D14382">
        <w:rPr>
          <w:rFonts w:ascii="Times New Roman" w:hAnsi="Times New Roman"/>
          <w:sz w:val="24"/>
          <w:szCs w:val="24"/>
        </w:rPr>
        <w:t>Gambar 7. Pertumbuhan berat ikan nila yang menerima perlakuan tanaman kombinasi ekstrak daun sirih dan kipahit</w:t>
      </w:r>
    </w:p>
    <w:p w14:paraId="7E7A3D2B" w14:textId="77777777" w:rsidR="002F4FF0" w:rsidRPr="00D14382" w:rsidRDefault="002F4FF0" w:rsidP="000004FB">
      <w:pPr>
        <w:spacing w:after="0" w:line="480" w:lineRule="auto"/>
        <w:ind w:left="993" w:hanging="993"/>
        <w:jc w:val="both"/>
        <w:rPr>
          <w:rFonts w:ascii="Times New Roman" w:hAnsi="Times New Roman"/>
          <w:sz w:val="24"/>
          <w:szCs w:val="24"/>
        </w:rPr>
      </w:pPr>
      <w:r w:rsidRPr="00D14382">
        <w:rPr>
          <w:rFonts w:ascii="Times New Roman" w:hAnsi="Times New Roman"/>
          <w:sz w:val="24"/>
          <w:szCs w:val="24"/>
        </w:rPr>
        <w:lastRenderedPageBreak/>
        <w:t xml:space="preserve">Figure 7. Growth weight of tilapia received a combination of betel and kipahit leaf extract treatment </w:t>
      </w:r>
    </w:p>
    <w:p w14:paraId="73431A4B" w14:textId="78F6B060" w:rsidR="00E3113C" w:rsidRPr="00D14382" w:rsidRDefault="00E3113C" w:rsidP="007D363A">
      <w:pPr>
        <w:spacing w:after="0" w:line="480" w:lineRule="auto"/>
        <w:ind w:firstLine="567"/>
        <w:jc w:val="both"/>
        <w:rPr>
          <w:rFonts w:ascii="Times New Roman" w:hAnsi="Times New Roman"/>
          <w:sz w:val="24"/>
          <w:szCs w:val="24"/>
        </w:rPr>
      </w:pPr>
      <w:r w:rsidRPr="00D14382">
        <w:rPr>
          <w:rFonts w:ascii="Times New Roman" w:hAnsi="Times New Roman"/>
          <w:sz w:val="24"/>
          <w:szCs w:val="24"/>
        </w:rPr>
        <w:t xml:space="preserve">Banyak penelitian yang menunukkan adanya kenaikan sintasan </w:t>
      </w:r>
      <w:r w:rsidR="00582E3E" w:rsidRPr="00D14382">
        <w:rPr>
          <w:rFonts w:ascii="Times New Roman" w:hAnsi="Times New Roman"/>
          <w:sz w:val="24"/>
          <w:szCs w:val="24"/>
        </w:rPr>
        <w:t xml:space="preserve">(Gambar 8) </w:t>
      </w:r>
      <w:r w:rsidRPr="00D14382">
        <w:rPr>
          <w:rFonts w:ascii="Times New Roman" w:hAnsi="Times New Roman"/>
          <w:sz w:val="24"/>
          <w:szCs w:val="24"/>
        </w:rPr>
        <w:t>dan Relative Percent Survival</w:t>
      </w:r>
      <w:r w:rsidR="00582E3E" w:rsidRPr="00D14382">
        <w:rPr>
          <w:rFonts w:ascii="Times New Roman" w:hAnsi="Times New Roman"/>
          <w:sz w:val="24"/>
          <w:szCs w:val="24"/>
        </w:rPr>
        <w:t xml:space="preserve"> (Table 2)</w:t>
      </w:r>
      <w:r w:rsidRPr="00D14382">
        <w:rPr>
          <w:rFonts w:ascii="Times New Roman" w:hAnsi="Times New Roman"/>
          <w:sz w:val="24"/>
          <w:szCs w:val="24"/>
        </w:rPr>
        <w:t xml:space="preserve"> dari ikan yang menerima perlakuan. Kenaikan ini tentu saja dipengaruhi oleh peningkatan respon imun yang menunjukkan adanya kenaikan dibandingkan dengan kelompok kontrol. Penelitian menggunakan tanaman daun sirih dan kipahit secara tunggal mampu meningkatkan sintasan </w:t>
      </w:r>
      <w:r w:rsidR="00582E3E" w:rsidRPr="00D14382">
        <w:rPr>
          <w:rFonts w:ascii="Times New Roman" w:hAnsi="Times New Roman"/>
          <w:sz w:val="24"/>
          <w:szCs w:val="24"/>
        </w:rPr>
        <w:t>relatif</w:t>
      </w:r>
      <w:r w:rsidRPr="00D14382">
        <w:rPr>
          <w:rFonts w:ascii="Times New Roman" w:hAnsi="Times New Roman"/>
          <w:sz w:val="24"/>
          <w:szCs w:val="24"/>
        </w:rPr>
        <w:t xml:space="preserve"> hingga </w:t>
      </w:r>
      <w:r w:rsidR="00582E3E" w:rsidRPr="00D14382">
        <w:rPr>
          <w:rFonts w:ascii="Times New Roman" w:hAnsi="Times New Roman"/>
          <w:sz w:val="24"/>
          <w:szCs w:val="24"/>
        </w:rPr>
        <w:t xml:space="preserve">79%, dengan kedua tanaman tersebut dikombinasikan sintasan relatif yang dihitung mampu naik hingga 96% </w:t>
      </w:r>
      <w:r w:rsidR="00582E3E" w:rsidRPr="00D14382">
        <w:rPr>
          <w:rFonts w:ascii="Times New Roman" w:hAnsi="Times New Roman"/>
          <w:sz w:val="24"/>
          <w:szCs w:val="24"/>
        </w:rPr>
        <w:fldChar w:fldCharType="begin"/>
      </w:r>
      <w:r w:rsidR="000C41F5">
        <w:rPr>
          <w:rFonts w:ascii="Times New Roman" w:hAnsi="Times New Roman"/>
          <w:sz w:val="24"/>
          <w:szCs w:val="24"/>
        </w:rPr>
        <w:instrText xml:space="preserve"> ADDIN ZOTERO_ITEM CSL_CITATION {"citationID":"TgYqRveQ","properties":{"formattedCitation":"(Nafiqoh, Sukenda, Zairin, et al. 2019)","plainCitation":"(Nafiqoh, Sukenda, Zairin, et al. 2019)","noteIndex":0},"citationItems":[{"id":5409,"uris":["http://zotero.org/users/5375416/items/8QWX8GHC"],"uri":["http://zotero.org/users/5375416/items/8QWX8GHC"],"itemData":{"id":5409,"type":"article-journal","abstract":"Aquaculture of the African catfish Clarias gariepinus has rapidly increased in South-East Asia over recent years, which has now become one of the most cultivated species. This culture intensification has resulted in the development of various diseases, among which the Motile Aeromonas Septicaemia (MAS) caused by Aeromonas hydrophila. The present study aimed at investigating the potential of three plants, Piper betle, Psidium guajava, and Tithonia diversifolia, to prevent this disease using an enriched fish diet during 4 weeks. Though the minimum inhibitory and bactericidal concentrations of acetone–extracts were relatively high (2–32 mg mL−1 and 8–64 mg mL−1, respectively), all three plant powders imbedded in feed significantly reduced fish mortalities following an experimental infection with A. hydrophila, as indicated by relative percent survivals (RPS) ranging from 77 to 79%. When used in combination, the three plant extracts showed no interaction in vitro. Even though they improved RPS in comparison with controls, they were, however, less efficient in reducing mortalities than single plants. None of the plant-enriched diet had a clear effect on blood cell count or on reactive oxygen species (ROS) production (except for P. betle, which significantly increased ROS production after infection); however, both individual plants and their combinations significantly limited the drop of hematocrit following infection. Altogether, these results indicate that selection of plants for herbal therapy is complex and might depend on several in vivo criteria, and as such should not solely rely upon measurement of their antimicrobial activity.","container-title":"Aquaculture International","DOI":"10.1007/s10499-019-00439-6","ISSN":"1573-143X","journalAbbreviation":"Aquacult Int","language":"en","source":"Springer Link","title":"Antimicrobial properties against Aeromonas hydrophila and immunostimulant effect on Clarias gariepinus of Piper betle, Psidium guajava, and Tithonia diversifolia plants","URL":"https://doi.org/10.1007/s10499-019-00439-6","author":[{"family":"Nafiqoh","given":"Nunak"},{"literal":"Sukenda"},{"family":"Zairin","given":"M."},{"literal":"Alimuddin"},{"family":"Lusiastuti","given":"Angela"},{"family":"Sarter","given":"Samira"},{"family":"Caruso","given":"Domenico"},{"family":"Avarre","given":"Jean-Christophe"}],"accessed":{"date-parts":[["2019",11,6]]},"issued":{"date-parts":[["2019",8,5]]}}}],"schema":"https://github.com/citation-style-language/schema/raw/master/csl-citation.json"} </w:instrText>
      </w:r>
      <w:r w:rsidR="00582E3E" w:rsidRPr="00D14382">
        <w:rPr>
          <w:rFonts w:ascii="Times New Roman" w:hAnsi="Times New Roman"/>
          <w:sz w:val="24"/>
          <w:szCs w:val="24"/>
        </w:rPr>
        <w:fldChar w:fldCharType="separate"/>
      </w:r>
      <w:r w:rsidR="00582E3E" w:rsidRPr="00D14382">
        <w:rPr>
          <w:rFonts w:ascii="Times New Roman" w:hAnsi="Times New Roman"/>
          <w:sz w:val="24"/>
          <w:szCs w:val="24"/>
        </w:rPr>
        <w:t xml:space="preserve">(Nafiqoh, Sukenda, Zairin, </w:t>
      </w:r>
      <w:r w:rsidR="000C41F5" w:rsidRPr="000C41F5">
        <w:rPr>
          <w:rFonts w:ascii="Times New Roman" w:hAnsi="Times New Roman"/>
          <w:i/>
          <w:iCs/>
          <w:sz w:val="24"/>
          <w:szCs w:val="24"/>
        </w:rPr>
        <w:t>et al</w:t>
      </w:r>
      <w:r w:rsidR="00582E3E" w:rsidRPr="00D14382">
        <w:rPr>
          <w:rFonts w:ascii="Times New Roman" w:hAnsi="Times New Roman"/>
          <w:sz w:val="24"/>
          <w:szCs w:val="24"/>
        </w:rPr>
        <w:t>. 2019)</w:t>
      </w:r>
      <w:r w:rsidR="00582E3E" w:rsidRPr="00D14382">
        <w:rPr>
          <w:rFonts w:ascii="Times New Roman" w:hAnsi="Times New Roman"/>
          <w:sz w:val="24"/>
          <w:szCs w:val="24"/>
        </w:rPr>
        <w:fldChar w:fldCharType="end"/>
      </w:r>
    </w:p>
    <w:p w14:paraId="7054B464" w14:textId="3CFC44EA" w:rsidR="00DE3A68" w:rsidRPr="00D14382" w:rsidRDefault="00D14382" w:rsidP="000004FB">
      <w:pPr>
        <w:spacing w:after="0" w:line="480" w:lineRule="auto"/>
        <w:jc w:val="both"/>
        <w:rPr>
          <w:rFonts w:ascii="Times New Roman" w:hAnsi="Times New Roman"/>
          <w:sz w:val="24"/>
          <w:szCs w:val="24"/>
          <w:lang w:val="id-ID"/>
        </w:rPr>
      </w:pPr>
      <w:r w:rsidRPr="00D14382">
        <w:rPr>
          <w:rFonts w:ascii="Times New Roman" w:hAnsi="Times New Roman"/>
          <w:noProof/>
          <w:sz w:val="24"/>
          <w:szCs w:val="24"/>
          <w:lang w:val="id-ID" w:eastAsia="id-ID"/>
        </w:rPr>
        <w:drawing>
          <wp:inline distT="0" distB="0" distL="0" distR="0" wp14:anchorId="5A9DD0C7" wp14:editId="5C18C2F6">
            <wp:extent cx="4810125" cy="3399155"/>
            <wp:effectExtent l="0" t="0" r="0" b="0"/>
            <wp:docPr id="14"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9957FC" w14:textId="77777777" w:rsidR="00582E3E" w:rsidRPr="00D14382" w:rsidRDefault="00582E3E" w:rsidP="000004FB">
      <w:pPr>
        <w:spacing w:after="0" w:line="480" w:lineRule="auto"/>
        <w:ind w:left="1134" w:hanging="1134"/>
        <w:jc w:val="both"/>
        <w:rPr>
          <w:rFonts w:ascii="Times New Roman" w:hAnsi="Times New Roman"/>
          <w:i/>
          <w:iCs/>
          <w:sz w:val="24"/>
          <w:szCs w:val="24"/>
        </w:rPr>
      </w:pPr>
      <w:r w:rsidRPr="00D14382">
        <w:rPr>
          <w:rFonts w:ascii="Times New Roman" w:hAnsi="Times New Roman"/>
          <w:sz w:val="24"/>
          <w:szCs w:val="24"/>
        </w:rPr>
        <w:t xml:space="preserve">Gambar 8. Analisa sintasan dari ikan nila yang menerima perlakuan tanaman kombinasi ekstrak daun sirih dan kipahit setelah uji tantang dengan bakteri </w:t>
      </w:r>
      <w:r w:rsidRPr="00D14382">
        <w:rPr>
          <w:rFonts w:ascii="Times New Roman" w:hAnsi="Times New Roman"/>
          <w:i/>
          <w:iCs/>
          <w:sz w:val="24"/>
          <w:szCs w:val="24"/>
        </w:rPr>
        <w:t>S. agalactiae</w:t>
      </w:r>
    </w:p>
    <w:p w14:paraId="21D161E6" w14:textId="77777777" w:rsidR="00CA17A6" w:rsidRPr="00D14382" w:rsidRDefault="002F4FF0" w:rsidP="000004FB">
      <w:pPr>
        <w:spacing w:after="0" w:line="480" w:lineRule="auto"/>
        <w:ind w:left="851" w:hanging="851"/>
        <w:jc w:val="both"/>
        <w:rPr>
          <w:rFonts w:ascii="Times New Roman" w:hAnsi="Times New Roman"/>
          <w:sz w:val="24"/>
          <w:szCs w:val="24"/>
        </w:rPr>
      </w:pPr>
      <w:r w:rsidRPr="00D14382">
        <w:rPr>
          <w:rFonts w:ascii="Times New Roman" w:hAnsi="Times New Roman"/>
          <w:sz w:val="24"/>
          <w:szCs w:val="24"/>
        </w:rPr>
        <w:lastRenderedPageBreak/>
        <w:t xml:space="preserve">Figure 8. Survival rate analysis rate </w:t>
      </w:r>
      <w:r w:rsidR="00CA17A6" w:rsidRPr="00D14382">
        <w:rPr>
          <w:rFonts w:ascii="Times New Roman" w:hAnsi="Times New Roman"/>
          <w:sz w:val="24"/>
          <w:szCs w:val="24"/>
        </w:rPr>
        <w:t xml:space="preserve">of tilapia that received a combination betel leaf and kipahit extract after challenging tests with </w:t>
      </w:r>
      <w:r w:rsidR="00CA17A6" w:rsidRPr="00D14382">
        <w:rPr>
          <w:rFonts w:ascii="Times New Roman" w:hAnsi="Times New Roman"/>
          <w:i/>
          <w:iCs/>
          <w:sz w:val="24"/>
          <w:szCs w:val="24"/>
        </w:rPr>
        <w:t>S. agalactiae</w:t>
      </w:r>
      <w:r w:rsidR="00CA17A6" w:rsidRPr="00D14382">
        <w:rPr>
          <w:rFonts w:ascii="Times New Roman" w:hAnsi="Times New Roman"/>
          <w:sz w:val="24"/>
          <w:szCs w:val="24"/>
        </w:rPr>
        <w:t xml:space="preserve"> bacteria</w:t>
      </w:r>
    </w:p>
    <w:p w14:paraId="0B1CDEAE" w14:textId="77777777" w:rsidR="00582E3E" w:rsidRPr="00D14382" w:rsidRDefault="00582E3E" w:rsidP="000004FB">
      <w:pPr>
        <w:spacing w:after="0" w:line="480" w:lineRule="auto"/>
        <w:ind w:left="851" w:hanging="851"/>
        <w:jc w:val="both"/>
        <w:rPr>
          <w:rFonts w:ascii="Times New Roman" w:hAnsi="Times New Roman"/>
          <w:i/>
          <w:iCs/>
          <w:sz w:val="24"/>
          <w:szCs w:val="24"/>
        </w:rPr>
      </w:pPr>
      <w:r w:rsidRPr="00D14382">
        <w:rPr>
          <w:rFonts w:ascii="Times New Roman" w:hAnsi="Times New Roman"/>
          <w:sz w:val="24"/>
          <w:szCs w:val="24"/>
        </w:rPr>
        <w:t xml:space="preserve">Tabel 2. Relative percent survival (RPS) dari ikan nila yang menerima perlakuan kombinasi ekstrak daun sirih dan kipahit setelah uji tantang dengan bakteri </w:t>
      </w:r>
      <w:r w:rsidRPr="00D14382">
        <w:rPr>
          <w:rFonts w:ascii="Times New Roman" w:hAnsi="Times New Roman"/>
          <w:i/>
          <w:iCs/>
          <w:sz w:val="24"/>
          <w:szCs w:val="24"/>
        </w:rPr>
        <w:t>S. agalactiae</w:t>
      </w:r>
    </w:p>
    <w:p w14:paraId="6D9779B9" w14:textId="77777777" w:rsidR="002F4FF0" w:rsidRPr="00D14382" w:rsidRDefault="002F4FF0" w:rsidP="000004FB">
      <w:pPr>
        <w:spacing w:after="0" w:line="480" w:lineRule="auto"/>
        <w:ind w:left="851" w:hanging="851"/>
        <w:jc w:val="both"/>
        <w:rPr>
          <w:rFonts w:ascii="Times New Roman" w:hAnsi="Times New Roman"/>
          <w:sz w:val="24"/>
          <w:szCs w:val="24"/>
        </w:rPr>
      </w:pPr>
      <w:r w:rsidRPr="00D14382">
        <w:rPr>
          <w:rFonts w:ascii="Times New Roman" w:hAnsi="Times New Roman"/>
          <w:sz w:val="24"/>
          <w:szCs w:val="24"/>
        </w:rPr>
        <w:t xml:space="preserve">Table 2. Relative percent survival (RPS) of tilapia that received a combination betel leaf and kipahit </w:t>
      </w:r>
      <w:r w:rsidR="00CA17A6" w:rsidRPr="00D14382">
        <w:rPr>
          <w:rFonts w:ascii="Times New Roman" w:hAnsi="Times New Roman"/>
          <w:sz w:val="24"/>
          <w:szCs w:val="24"/>
        </w:rPr>
        <w:t xml:space="preserve">extract </w:t>
      </w:r>
      <w:r w:rsidRPr="00D14382">
        <w:rPr>
          <w:rFonts w:ascii="Times New Roman" w:hAnsi="Times New Roman"/>
          <w:sz w:val="24"/>
          <w:szCs w:val="24"/>
        </w:rPr>
        <w:t xml:space="preserve">after challenging tests with </w:t>
      </w:r>
      <w:r w:rsidRPr="00D14382">
        <w:rPr>
          <w:rFonts w:ascii="Times New Roman" w:hAnsi="Times New Roman"/>
          <w:i/>
          <w:iCs/>
          <w:sz w:val="24"/>
          <w:szCs w:val="24"/>
        </w:rPr>
        <w:t>S. agalactiae</w:t>
      </w:r>
      <w:r w:rsidRPr="00D14382">
        <w:rPr>
          <w:rFonts w:ascii="Times New Roman" w:hAnsi="Times New Roman"/>
          <w:sz w:val="24"/>
          <w:szCs w:val="24"/>
        </w:rPr>
        <w:t xml:space="preserve"> bacteria</w:t>
      </w:r>
    </w:p>
    <w:p w14:paraId="6725971B" w14:textId="77777777" w:rsidR="00CA17A6" w:rsidRPr="00D14382" w:rsidRDefault="00CA17A6" w:rsidP="000004FB">
      <w:pPr>
        <w:spacing w:after="0" w:line="480" w:lineRule="auto"/>
        <w:ind w:left="1134" w:hanging="1134"/>
        <w:jc w:val="both"/>
        <w:rPr>
          <w:rFonts w:ascii="Times New Roman" w:hAnsi="Times New Roman"/>
          <w:i/>
          <w:iCs/>
          <w:sz w:val="24"/>
          <w:szCs w:val="24"/>
        </w:rPr>
      </w:pPr>
    </w:p>
    <w:tbl>
      <w:tblPr>
        <w:tblW w:w="7938" w:type="dxa"/>
        <w:tblBorders>
          <w:top w:val="single" w:sz="4" w:space="0" w:color="auto"/>
          <w:bottom w:val="single" w:sz="4" w:space="0" w:color="auto"/>
          <w:insideH w:val="single" w:sz="4" w:space="0" w:color="auto"/>
        </w:tblBorders>
        <w:tblLook w:val="04A0" w:firstRow="1" w:lastRow="0" w:firstColumn="1" w:lastColumn="0" w:noHBand="0" w:noVBand="1"/>
      </w:tblPr>
      <w:tblGrid>
        <w:gridCol w:w="2689"/>
        <w:gridCol w:w="5249"/>
      </w:tblGrid>
      <w:tr w:rsidR="00F85890" w:rsidRPr="00D14382" w14:paraId="75013C96" w14:textId="77777777" w:rsidTr="007D363A">
        <w:trPr>
          <w:trHeight w:val="311"/>
        </w:trPr>
        <w:tc>
          <w:tcPr>
            <w:tcW w:w="2689" w:type="dxa"/>
            <w:shd w:val="clear" w:color="auto" w:fill="auto"/>
            <w:noWrap/>
            <w:vAlign w:val="bottom"/>
            <w:hideMark/>
          </w:tcPr>
          <w:p w14:paraId="2822CC0A" w14:textId="77777777" w:rsidR="00F85890" w:rsidRPr="00D14382" w:rsidRDefault="00F85890" w:rsidP="000004FB">
            <w:pPr>
              <w:spacing w:after="0" w:line="480" w:lineRule="auto"/>
              <w:jc w:val="center"/>
              <w:rPr>
                <w:rFonts w:ascii="Times New Roman" w:eastAsia="Times New Roman" w:hAnsi="Times New Roman"/>
                <w:color w:val="000000"/>
                <w:sz w:val="24"/>
                <w:szCs w:val="24"/>
                <w:lang w:val="id-ID" w:eastAsia="id-ID"/>
              </w:rPr>
            </w:pPr>
            <w:r w:rsidRPr="00D14382">
              <w:rPr>
                <w:rFonts w:ascii="Times New Roman" w:eastAsia="Times New Roman" w:hAnsi="Times New Roman"/>
                <w:color w:val="000000"/>
                <w:sz w:val="24"/>
                <w:szCs w:val="24"/>
                <w:lang w:val="id-ID" w:eastAsia="id-ID"/>
              </w:rPr>
              <w:t>Perlakuan</w:t>
            </w:r>
          </w:p>
        </w:tc>
        <w:tc>
          <w:tcPr>
            <w:tcW w:w="5249" w:type="dxa"/>
            <w:shd w:val="clear" w:color="auto" w:fill="auto"/>
            <w:noWrap/>
            <w:vAlign w:val="bottom"/>
            <w:hideMark/>
          </w:tcPr>
          <w:p w14:paraId="59FA5E51" w14:textId="77777777" w:rsidR="00F85890" w:rsidRPr="00D14382" w:rsidRDefault="00F85890" w:rsidP="000004FB">
            <w:pPr>
              <w:spacing w:after="0" w:line="480" w:lineRule="auto"/>
              <w:jc w:val="center"/>
              <w:rPr>
                <w:rFonts w:ascii="Times New Roman" w:eastAsia="Times New Roman" w:hAnsi="Times New Roman"/>
                <w:color w:val="000000"/>
                <w:sz w:val="24"/>
                <w:szCs w:val="24"/>
                <w:lang w:val="id-ID" w:eastAsia="id-ID"/>
              </w:rPr>
            </w:pPr>
            <w:r w:rsidRPr="00D14382">
              <w:rPr>
                <w:rFonts w:ascii="Times New Roman" w:eastAsia="Times New Roman" w:hAnsi="Times New Roman"/>
                <w:color w:val="000000"/>
                <w:sz w:val="24"/>
                <w:szCs w:val="24"/>
                <w:lang w:val="id-ID" w:eastAsia="id-ID"/>
              </w:rPr>
              <w:t>RPS</w:t>
            </w:r>
          </w:p>
        </w:tc>
      </w:tr>
      <w:tr w:rsidR="00F85890" w:rsidRPr="00D14382" w14:paraId="1E8DF077" w14:textId="77777777" w:rsidTr="007D363A">
        <w:trPr>
          <w:trHeight w:val="311"/>
        </w:trPr>
        <w:tc>
          <w:tcPr>
            <w:tcW w:w="2689" w:type="dxa"/>
            <w:shd w:val="clear" w:color="auto" w:fill="auto"/>
            <w:noWrap/>
            <w:vAlign w:val="bottom"/>
            <w:hideMark/>
          </w:tcPr>
          <w:p w14:paraId="4B7E4DAA" w14:textId="77777777" w:rsidR="00F85890" w:rsidRPr="00D14382" w:rsidRDefault="00F85890" w:rsidP="000004FB">
            <w:pPr>
              <w:spacing w:after="0" w:line="480" w:lineRule="auto"/>
              <w:jc w:val="center"/>
              <w:rPr>
                <w:rFonts w:ascii="Times New Roman" w:eastAsia="Times New Roman" w:hAnsi="Times New Roman"/>
                <w:color w:val="000000"/>
                <w:sz w:val="24"/>
                <w:szCs w:val="24"/>
                <w:lang w:val="id-ID" w:eastAsia="id-ID"/>
              </w:rPr>
            </w:pPr>
            <w:r w:rsidRPr="00D14382">
              <w:rPr>
                <w:rFonts w:ascii="Times New Roman" w:eastAsia="Times New Roman" w:hAnsi="Times New Roman"/>
                <w:color w:val="000000"/>
                <w:sz w:val="24"/>
                <w:szCs w:val="24"/>
                <w:lang w:val="id-ID" w:eastAsia="id-ID"/>
              </w:rPr>
              <w:t>0%</w:t>
            </w:r>
          </w:p>
        </w:tc>
        <w:tc>
          <w:tcPr>
            <w:tcW w:w="5249" w:type="dxa"/>
            <w:shd w:val="clear" w:color="auto" w:fill="auto"/>
            <w:noWrap/>
            <w:vAlign w:val="bottom"/>
            <w:hideMark/>
          </w:tcPr>
          <w:p w14:paraId="4776404F" w14:textId="77777777" w:rsidR="00F85890" w:rsidRPr="00D14382" w:rsidRDefault="00F85890" w:rsidP="000004FB">
            <w:pPr>
              <w:spacing w:after="0" w:line="480" w:lineRule="auto"/>
              <w:jc w:val="center"/>
              <w:rPr>
                <w:rFonts w:ascii="Times New Roman" w:eastAsia="Times New Roman" w:hAnsi="Times New Roman"/>
                <w:color w:val="000000"/>
                <w:sz w:val="24"/>
                <w:szCs w:val="24"/>
                <w:lang w:val="id-ID" w:eastAsia="id-ID"/>
              </w:rPr>
            </w:pPr>
            <w:r w:rsidRPr="00D14382">
              <w:rPr>
                <w:rFonts w:ascii="Times New Roman" w:eastAsia="Times New Roman" w:hAnsi="Times New Roman"/>
                <w:color w:val="000000"/>
                <w:sz w:val="24"/>
                <w:szCs w:val="24"/>
                <w:lang w:val="id-ID" w:eastAsia="id-ID"/>
              </w:rPr>
              <w:t>-</w:t>
            </w:r>
          </w:p>
        </w:tc>
      </w:tr>
      <w:tr w:rsidR="00582E3E" w:rsidRPr="00D14382" w14:paraId="09506E19" w14:textId="77777777" w:rsidTr="007D363A">
        <w:trPr>
          <w:trHeight w:val="311"/>
        </w:trPr>
        <w:tc>
          <w:tcPr>
            <w:tcW w:w="2689" w:type="dxa"/>
            <w:shd w:val="clear" w:color="auto" w:fill="auto"/>
            <w:noWrap/>
            <w:vAlign w:val="bottom"/>
            <w:hideMark/>
          </w:tcPr>
          <w:p w14:paraId="464ECFEF" w14:textId="77777777" w:rsidR="00582E3E" w:rsidRPr="00D14382" w:rsidRDefault="00582E3E" w:rsidP="000004FB">
            <w:pPr>
              <w:spacing w:after="0" w:line="480" w:lineRule="auto"/>
              <w:jc w:val="center"/>
              <w:rPr>
                <w:rFonts w:ascii="Times New Roman" w:eastAsia="Times New Roman" w:hAnsi="Times New Roman"/>
                <w:color w:val="000000"/>
                <w:sz w:val="24"/>
                <w:szCs w:val="24"/>
                <w:lang w:val="id-ID" w:eastAsia="id-ID"/>
              </w:rPr>
            </w:pPr>
            <w:r w:rsidRPr="00D14382">
              <w:rPr>
                <w:rFonts w:ascii="Times New Roman" w:eastAsia="Times New Roman" w:hAnsi="Times New Roman"/>
                <w:color w:val="000000"/>
                <w:sz w:val="24"/>
                <w:szCs w:val="24"/>
                <w:lang w:val="id-ID" w:eastAsia="id-ID"/>
              </w:rPr>
              <w:t>1%</w:t>
            </w:r>
          </w:p>
        </w:tc>
        <w:tc>
          <w:tcPr>
            <w:tcW w:w="5249" w:type="dxa"/>
            <w:shd w:val="clear" w:color="auto" w:fill="auto"/>
            <w:noWrap/>
            <w:vAlign w:val="bottom"/>
            <w:hideMark/>
          </w:tcPr>
          <w:p w14:paraId="588BE155" w14:textId="77777777" w:rsidR="00582E3E" w:rsidRPr="00D14382" w:rsidRDefault="00582E3E" w:rsidP="000004FB">
            <w:pPr>
              <w:spacing w:after="0" w:line="480" w:lineRule="auto"/>
              <w:jc w:val="center"/>
              <w:rPr>
                <w:rFonts w:ascii="Times New Roman" w:eastAsia="Times New Roman" w:hAnsi="Times New Roman"/>
                <w:color w:val="000000"/>
                <w:sz w:val="24"/>
                <w:szCs w:val="24"/>
                <w:lang w:val="id-ID" w:eastAsia="id-ID"/>
              </w:rPr>
            </w:pPr>
            <w:r w:rsidRPr="00D14382">
              <w:rPr>
                <w:rFonts w:ascii="Times New Roman" w:hAnsi="Times New Roman"/>
                <w:color w:val="000000"/>
                <w:sz w:val="24"/>
                <w:szCs w:val="24"/>
              </w:rPr>
              <w:t>87.9182</w:t>
            </w:r>
          </w:p>
        </w:tc>
      </w:tr>
      <w:tr w:rsidR="00582E3E" w:rsidRPr="00D14382" w14:paraId="6FBCE5A4" w14:textId="77777777" w:rsidTr="007D363A">
        <w:trPr>
          <w:trHeight w:val="311"/>
        </w:trPr>
        <w:tc>
          <w:tcPr>
            <w:tcW w:w="2689" w:type="dxa"/>
            <w:shd w:val="clear" w:color="auto" w:fill="auto"/>
            <w:noWrap/>
            <w:vAlign w:val="bottom"/>
            <w:hideMark/>
          </w:tcPr>
          <w:p w14:paraId="6D9C5DFE" w14:textId="77777777" w:rsidR="00582E3E" w:rsidRPr="00D14382" w:rsidRDefault="00582E3E" w:rsidP="000004FB">
            <w:pPr>
              <w:spacing w:after="0" w:line="480" w:lineRule="auto"/>
              <w:jc w:val="center"/>
              <w:rPr>
                <w:rFonts w:ascii="Times New Roman" w:eastAsia="Times New Roman" w:hAnsi="Times New Roman"/>
                <w:color w:val="000000"/>
                <w:sz w:val="24"/>
                <w:szCs w:val="24"/>
                <w:lang w:val="id-ID" w:eastAsia="id-ID"/>
              </w:rPr>
            </w:pPr>
            <w:r w:rsidRPr="00D14382">
              <w:rPr>
                <w:rFonts w:ascii="Times New Roman" w:eastAsia="Times New Roman" w:hAnsi="Times New Roman"/>
                <w:color w:val="000000"/>
                <w:sz w:val="24"/>
                <w:szCs w:val="24"/>
                <w:lang w:val="id-ID" w:eastAsia="id-ID"/>
              </w:rPr>
              <w:t>2%</w:t>
            </w:r>
          </w:p>
        </w:tc>
        <w:tc>
          <w:tcPr>
            <w:tcW w:w="5249" w:type="dxa"/>
            <w:shd w:val="clear" w:color="auto" w:fill="auto"/>
            <w:noWrap/>
            <w:vAlign w:val="bottom"/>
            <w:hideMark/>
          </w:tcPr>
          <w:p w14:paraId="22CEB9DC" w14:textId="77777777" w:rsidR="00582E3E" w:rsidRPr="00D14382" w:rsidRDefault="00582E3E" w:rsidP="000004FB">
            <w:pPr>
              <w:spacing w:after="0" w:line="480" w:lineRule="auto"/>
              <w:jc w:val="center"/>
              <w:rPr>
                <w:rFonts w:ascii="Times New Roman" w:eastAsia="Times New Roman" w:hAnsi="Times New Roman"/>
                <w:color w:val="000000"/>
                <w:sz w:val="24"/>
                <w:szCs w:val="24"/>
                <w:lang w:val="id-ID" w:eastAsia="id-ID"/>
              </w:rPr>
            </w:pPr>
            <w:r w:rsidRPr="00D14382">
              <w:rPr>
                <w:rFonts w:ascii="Times New Roman" w:hAnsi="Times New Roman"/>
                <w:color w:val="000000"/>
                <w:sz w:val="24"/>
                <w:szCs w:val="24"/>
              </w:rPr>
              <w:t>96.33885</w:t>
            </w:r>
          </w:p>
        </w:tc>
      </w:tr>
      <w:tr w:rsidR="00582E3E" w:rsidRPr="00D14382" w14:paraId="371D3BC9" w14:textId="77777777" w:rsidTr="007D363A">
        <w:trPr>
          <w:trHeight w:val="311"/>
        </w:trPr>
        <w:tc>
          <w:tcPr>
            <w:tcW w:w="2689" w:type="dxa"/>
            <w:shd w:val="clear" w:color="auto" w:fill="auto"/>
            <w:noWrap/>
            <w:vAlign w:val="bottom"/>
            <w:hideMark/>
          </w:tcPr>
          <w:p w14:paraId="3CC2B1AD" w14:textId="77777777" w:rsidR="00582E3E" w:rsidRPr="00D14382" w:rsidRDefault="00582E3E" w:rsidP="000004FB">
            <w:pPr>
              <w:spacing w:after="0" w:line="480" w:lineRule="auto"/>
              <w:jc w:val="center"/>
              <w:rPr>
                <w:rFonts w:ascii="Times New Roman" w:eastAsia="Times New Roman" w:hAnsi="Times New Roman"/>
                <w:color w:val="000000"/>
                <w:sz w:val="24"/>
                <w:szCs w:val="24"/>
                <w:lang w:val="id-ID" w:eastAsia="id-ID"/>
              </w:rPr>
            </w:pPr>
            <w:r w:rsidRPr="00D14382">
              <w:rPr>
                <w:rFonts w:ascii="Times New Roman" w:eastAsia="Times New Roman" w:hAnsi="Times New Roman"/>
                <w:color w:val="000000"/>
                <w:sz w:val="24"/>
                <w:szCs w:val="24"/>
                <w:lang w:val="id-ID" w:eastAsia="id-ID"/>
              </w:rPr>
              <w:t>4%</w:t>
            </w:r>
          </w:p>
        </w:tc>
        <w:tc>
          <w:tcPr>
            <w:tcW w:w="5249" w:type="dxa"/>
            <w:shd w:val="clear" w:color="auto" w:fill="auto"/>
            <w:noWrap/>
            <w:vAlign w:val="bottom"/>
            <w:hideMark/>
          </w:tcPr>
          <w:p w14:paraId="1426FF4F" w14:textId="77777777" w:rsidR="00582E3E" w:rsidRPr="00D14382" w:rsidRDefault="00582E3E" w:rsidP="000004FB">
            <w:pPr>
              <w:spacing w:after="0" w:line="480" w:lineRule="auto"/>
              <w:jc w:val="center"/>
              <w:rPr>
                <w:rFonts w:ascii="Times New Roman" w:eastAsia="Times New Roman" w:hAnsi="Times New Roman"/>
                <w:color w:val="000000"/>
                <w:sz w:val="24"/>
                <w:szCs w:val="24"/>
                <w:lang w:val="id-ID" w:eastAsia="id-ID"/>
              </w:rPr>
            </w:pPr>
            <w:r w:rsidRPr="00D14382">
              <w:rPr>
                <w:rFonts w:ascii="Times New Roman" w:hAnsi="Times New Roman"/>
                <w:color w:val="000000"/>
                <w:sz w:val="24"/>
                <w:szCs w:val="24"/>
              </w:rPr>
              <w:t>86.03532</w:t>
            </w:r>
          </w:p>
        </w:tc>
      </w:tr>
      <w:tr w:rsidR="00582E3E" w:rsidRPr="00D14382" w14:paraId="10425D06" w14:textId="77777777" w:rsidTr="007D363A">
        <w:trPr>
          <w:trHeight w:val="311"/>
        </w:trPr>
        <w:tc>
          <w:tcPr>
            <w:tcW w:w="2689" w:type="dxa"/>
            <w:shd w:val="clear" w:color="auto" w:fill="auto"/>
            <w:noWrap/>
            <w:vAlign w:val="bottom"/>
            <w:hideMark/>
          </w:tcPr>
          <w:p w14:paraId="778B6FCC" w14:textId="77777777" w:rsidR="00582E3E" w:rsidRPr="00D14382" w:rsidRDefault="00582E3E" w:rsidP="000004FB">
            <w:pPr>
              <w:spacing w:after="0" w:line="480" w:lineRule="auto"/>
              <w:jc w:val="center"/>
              <w:rPr>
                <w:rFonts w:ascii="Times New Roman" w:eastAsia="Times New Roman" w:hAnsi="Times New Roman"/>
                <w:color w:val="000000"/>
                <w:sz w:val="24"/>
                <w:szCs w:val="24"/>
                <w:lang w:val="id-ID" w:eastAsia="id-ID"/>
              </w:rPr>
            </w:pPr>
            <w:r w:rsidRPr="00D14382">
              <w:rPr>
                <w:rFonts w:ascii="Times New Roman" w:eastAsia="Times New Roman" w:hAnsi="Times New Roman"/>
                <w:color w:val="000000"/>
                <w:sz w:val="24"/>
                <w:szCs w:val="24"/>
                <w:lang w:val="id-ID" w:eastAsia="id-ID"/>
              </w:rPr>
              <w:t>8%</w:t>
            </w:r>
          </w:p>
        </w:tc>
        <w:tc>
          <w:tcPr>
            <w:tcW w:w="5249" w:type="dxa"/>
            <w:shd w:val="clear" w:color="auto" w:fill="auto"/>
            <w:noWrap/>
            <w:vAlign w:val="bottom"/>
            <w:hideMark/>
          </w:tcPr>
          <w:p w14:paraId="3B4CE6E3" w14:textId="77777777" w:rsidR="00582E3E" w:rsidRPr="00D14382" w:rsidRDefault="00582E3E" w:rsidP="000004FB">
            <w:pPr>
              <w:spacing w:after="0" w:line="480" w:lineRule="auto"/>
              <w:jc w:val="center"/>
              <w:rPr>
                <w:rFonts w:ascii="Times New Roman" w:eastAsia="Times New Roman" w:hAnsi="Times New Roman"/>
                <w:color w:val="000000"/>
                <w:sz w:val="24"/>
                <w:szCs w:val="24"/>
                <w:lang w:val="id-ID" w:eastAsia="id-ID"/>
              </w:rPr>
            </w:pPr>
            <w:r w:rsidRPr="00D14382">
              <w:rPr>
                <w:rFonts w:ascii="Times New Roman" w:hAnsi="Times New Roman"/>
                <w:color w:val="000000"/>
                <w:sz w:val="24"/>
                <w:szCs w:val="24"/>
              </w:rPr>
              <w:t>80.13287</w:t>
            </w:r>
          </w:p>
        </w:tc>
      </w:tr>
    </w:tbl>
    <w:p w14:paraId="5CF75864" w14:textId="77777777" w:rsidR="00F85890" w:rsidRPr="00D14382" w:rsidRDefault="00F85890" w:rsidP="000004FB">
      <w:pPr>
        <w:spacing w:after="0" w:line="480" w:lineRule="auto"/>
        <w:jc w:val="both"/>
        <w:rPr>
          <w:rFonts w:ascii="Times New Roman" w:hAnsi="Times New Roman"/>
          <w:sz w:val="24"/>
          <w:szCs w:val="24"/>
          <w:lang w:val="id-ID"/>
        </w:rPr>
      </w:pPr>
    </w:p>
    <w:p w14:paraId="1806CA6C" w14:textId="77777777" w:rsidR="001B13F1" w:rsidRPr="00D14382" w:rsidRDefault="001B13F1" w:rsidP="000004FB">
      <w:pPr>
        <w:spacing w:after="0" w:line="480" w:lineRule="auto"/>
        <w:jc w:val="both"/>
        <w:rPr>
          <w:rFonts w:ascii="Times New Roman" w:hAnsi="Times New Roman"/>
          <w:sz w:val="24"/>
          <w:szCs w:val="24"/>
        </w:rPr>
      </w:pPr>
      <w:r w:rsidRPr="00D14382">
        <w:rPr>
          <w:rFonts w:ascii="Times New Roman" w:hAnsi="Times New Roman"/>
          <w:sz w:val="24"/>
          <w:szCs w:val="24"/>
        </w:rPr>
        <w:t>Kesimpulan</w:t>
      </w:r>
    </w:p>
    <w:p w14:paraId="57905FC2" w14:textId="77777777" w:rsidR="00582E3E" w:rsidRPr="00D14382" w:rsidRDefault="00582E3E" w:rsidP="000004FB">
      <w:pPr>
        <w:spacing w:after="0" w:line="480" w:lineRule="auto"/>
        <w:ind w:firstLine="720"/>
        <w:jc w:val="both"/>
        <w:rPr>
          <w:rFonts w:ascii="Times New Roman" w:hAnsi="Times New Roman"/>
          <w:i/>
          <w:iCs/>
          <w:sz w:val="24"/>
          <w:szCs w:val="24"/>
        </w:rPr>
      </w:pPr>
      <w:r w:rsidRPr="00D14382">
        <w:rPr>
          <w:rFonts w:ascii="Times New Roman" w:hAnsi="Times New Roman"/>
          <w:sz w:val="24"/>
          <w:szCs w:val="24"/>
        </w:rPr>
        <w:t xml:space="preserve">Penambahan tanaman kombinasi ekstrak daun sirih dan kipahit </w:t>
      </w:r>
      <w:r w:rsidR="00C808D9" w:rsidRPr="00D14382">
        <w:rPr>
          <w:rFonts w:ascii="Times New Roman" w:hAnsi="Times New Roman"/>
          <w:sz w:val="24"/>
          <w:szCs w:val="24"/>
        </w:rPr>
        <w:t xml:space="preserve">dengan dosis 2% </w:t>
      </w:r>
      <w:r w:rsidRPr="00D14382">
        <w:rPr>
          <w:rFonts w:ascii="Times New Roman" w:hAnsi="Times New Roman"/>
          <w:sz w:val="24"/>
          <w:szCs w:val="24"/>
        </w:rPr>
        <w:t xml:space="preserve">mempunyai prospek yang cukup baik sebagai imunostimulan pada ikan nila saat diuji tantang dengan bakteri pathogen </w:t>
      </w:r>
      <w:r w:rsidRPr="00D14382">
        <w:rPr>
          <w:rFonts w:ascii="Times New Roman" w:hAnsi="Times New Roman"/>
          <w:i/>
          <w:iCs/>
          <w:sz w:val="24"/>
          <w:szCs w:val="24"/>
        </w:rPr>
        <w:t>Streptococcus agalactiae</w:t>
      </w:r>
      <w:r w:rsidR="00C808D9" w:rsidRPr="00D14382">
        <w:rPr>
          <w:rFonts w:ascii="Times New Roman" w:hAnsi="Times New Roman"/>
          <w:i/>
          <w:iCs/>
          <w:sz w:val="24"/>
          <w:szCs w:val="24"/>
        </w:rPr>
        <w:t xml:space="preserve">. </w:t>
      </w:r>
    </w:p>
    <w:p w14:paraId="58B67D1A" w14:textId="77777777" w:rsidR="00582E3E" w:rsidRPr="00D14382" w:rsidRDefault="00582E3E" w:rsidP="000004FB">
      <w:pPr>
        <w:spacing w:after="0" w:line="480" w:lineRule="auto"/>
        <w:ind w:firstLine="720"/>
        <w:jc w:val="both"/>
        <w:rPr>
          <w:rFonts w:ascii="Times New Roman" w:hAnsi="Times New Roman"/>
          <w:i/>
          <w:iCs/>
          <w:sz w:val="24"/>
          <w:szCs w:val="24"/>
        </w:rPr>
      </w:pPr>
    </w:p>
    <w:p w14:paraId="6BEA304D" w14:textId="77777777" w:rsidR="001B13F1" w:rsidRPr="00D14382" w:rsidRDefault="001B13F1" w:rsidP="000004FB">
      <w:pPr>
        <w:spacing w:after="0" w:line="480" w:lineRule="auto"/>
        <w:jc w:val="both"/>
        <w:rPr>
          <w:rFonts w:ascii="Times New Roman" w:hAnsi="Times New Roman"/>
          <w:sz w:val="24"/>
          <w:szCs w:val="24"/>
        </w:rPr>
      </w:pPr>
      <w:r w:rsidRPr="00D14382">
        <w:rPr>
          <w:rFonts w:ascii="Times New Roman" w:hAnsi="Times New Roman"/>
          <w:sz w:val="24"/>
          <w:szCs w:val="24"/>
        </w:rPr>
        <w:t>Saran</w:t>
      </w:r>
    </w:p>
    <w:p w14:paraId="124BDC5B" w14:textId="77777777" w:rsidR="00582E3E" w:rsidRPr="00D14382" w:rsidRDefault="00582E3E" w:rsidP="000004FB">
      <w:pPr>
        <w:spacing w:after="0" w:line="480" w:lineRule="auto"/>
        <w:ind w:firstLine="720"/>
        <w:jc w:val="both"/>
        <w:rPr>
          <w:rFonts w:ascii="Times New Roman" w:hAnsi="Times New Roman"/>
          <w:sz w:val="24"/>
          <w:szCs w:val="24"/>
        </w:rPr>
      </w:pPr>
      <w:r w:rsidRPr="00D14382">
        <w:rPr>
          <w:rFonts w:ascii="Times New Roman" w:hAnsi="Times New Roman"/>
          <w:sz w:val="24"/>
          <w:szCs w:val="24"/>
        </w:rPr>
        <w:t>Perlu didalami lebih lanjut tentang efektifitas ekstrak kombinasi sebagai peningkat pertumbuhan.</w:t>
      </w:r>
    </w:p>
    <w:p w14:paraId="03515592" w14:textId="77777777" w:rsidR="00582E3E" w:rsidRPr="00D14382" w:rsidRDefault="00582E3E" w:rsidP="000004FB">
      <w:pPr>
        <w:spacing w:after="0" w:line="480" w:lineRule="auto"/>
        <w:ind w:firstLine="720"/>
        <w:jc w:val="both"/>
        <w:rPr>
          <w:rFonts w:ascii="Times New Roman" w:hAnsi="Times New Roman"/>
          <w:sz w:val="24"/>
          <w:szCs w:val="24"/>
        </w:rPr>
      </w:pPr>
    </w:p>
    <w:p w14:paraId="624C7297" w14:textId="77777777" w:rsidR="001B13F1" w:rsidRPr="00D14382" w:rsidRDefault="001B13F1" w:rsidP="000004FB">
      <w:pPr>
        <w:spacing w:after="0" w:line="480" w:lineRule="auto"/>
        <w:jc w:val="both"/>
        <w:rPr>
          <w:rFonts w:ascii="Times New Roman" w:hAnsi="Times New Roman"/>
          <w:sz w:val="24"/>
          <w:szCs w:val="24"/>
        </w:rPr>
      </w:pPr>
      <w:r w:rsidRPr="00D14382">
        <w:rPr>
          <w:rFonts w:ascii="Times New Roman" w:hAnsi="Times New Roman"/>
          <w:sz w:val="24"/>
          <w:szCs w:val="24"/>
        </w:rPr>
        <w:lastRenderedPageBreak/>
        <w:t>Ucapan Terimakasih</w:t>
      </w:r>
    </w:p>
    <w:p w14:paraId="29D4FFAC" w14:textId="77777777" w:rsidR="00582E3E" w:rsidRPr="00D14382" w:rsidRDefault="00582E3E" w:rsidP="000004FB">
      <w:pPr>
        <w:spacing w:after="0" w:line="480" w:lineRule="auto"/>
        <w:jc w:val="both"/>
        <w:rPr>
          <w:rFonts w:ascii="Times New Roman" w:hAnsi="Times New Roman"/>
          <w:sz w:val="24"/>
          <w:szCs w:val="24"/>
        </w:rPr>
      </w:pPr>
      <w:r w:rsidRPr="00D14382">
        <w:rPr>
          <w:rFonts w:ascii="Times New Roman" w:hAnsi="Times New Roman"/>
          <w:sz w:val="24"/>
          <w:szCs w:val="24"/>
        </w:rPr>
        <w:t>Penelitian ini dibiayai ole</w:t>
      </w:r>
      <w:r w:rsidR="005C4068" w:rsidRPr="00D14382">
        <w:rPr>
          <w:rFonts w:ascii="Times New Roman" w:hAnsi="Times New Roman"/>
          <w:sz w:val="24"/>
          <w:szCs w:val="24"/>
        </w:rPr>
        <w:t>h</w:t>
      </w:r>
      <w:r w:rsidRPr="00D14382">
        <w:rPr>
          <w:rFonts w:ascii="Times New Roman" w:hAnsi="Times New Roman"/>
          <w:sz w:val="24"/>
          <w:szCs w:val="24"/>
        </w:rPr>
        <w:t xml:space="preserve"> DIPA 2019 BRPBATPP Sempur Bogor. </w:t>
      </w:r>
    </w:p>
    <w:p w14:paraId="0C18E792" w14:textId="77777777" w:rsidR="00582E3E" w:rsidRPr="00D14382" w:rsidRDefault="00582E3E" w:rsidP="000004FB">
      <w:pPr>
        <w:spacing w:after="0" w:line="480" w:lineRule="auto"/>
        <w:jc w:val="both"/>
        <w:rPr>
          <w:rFonts w:ascii="Times New Roman" w:hAnsi="Times New Roman"/>
          <w:sz w:val="24"/>
          <w:szCs w:val="24"/>
        </w:rPr>
      </w:pPr>
      <w:r w:rsidRPr="00D14382">
        <w:rPr>
          <w:rFonts w:ascii="Times New Roman" w:hAnsi="Times New Roman"/>
          <w:sz w:val="24"/>
          <w:szCs w:val="24"/>
        </w:rPr>
        <w:t>Daftar Pustaka</w:t>
      </w:r>
    </w:p>
    <w:p w14:paraId="13E26A6A" w14:textId="4FC0B222" w:rsidR="007D363A" w:rsidRPr="007D363A" w:rsidRDefault="007D363A" w:rsidP="007D363A">
      <w:pPr>
        <w:pStyle w:val="Bibliography"/>
        <w:jc w:val="both"/>
        <w:rPr>
          <w:rFonts w:ascii="Times New Roman" w:hAnsi="Times New Roman"/>
          <w:sz w:val="24"/>
        </w:rPr>
      </w:pPr>
      <w:r>
        <w:fldChar w:fldCharType="begin"/>
      </w:r>
      <w:r>
        <w:instrText xml:space="preserve"> ADDIN ZOTERO_BIBL {"uncited":[],"omitted":[],"custom":[]} CSL_BIBLIOGRAPHY </w:instrText>
      </w:r>
      <w:r>
        <w:fldChar w:fldCharType="separate"/>
      </w:r>
      <w:r w:rsidRPr="007D363A">
        <w:rPr>
          <w:rFonts w:ascii="Times New Roman" w:hAnsi="Times New Roman"/>
          <w:sz w:val="24"/>
        </w:rPr>
        <w:t xml:space="preserve">Abdel-Tawwab, Mohsen, Mohammad H. Ahmad, Medhat E. A. Seden, and Saleh F. M. Sakr. 2010. “Use of Green Tea, Camellia Sinensis L., in Practical Diet for Growth and Protection of Nile Tilapia, Oreochromis Niloticus (L.), against Aeromonas Hydrophila Infection.” </w:t>
      </w:r>
      <w:r w:rsidRPr="007D363A">
        <w:rPr>
          <w:rFonts w:ascii="Times New Roman" w:hAnsi="Times New Roman"/>
          <w:i/>
          <w:iCs/>
          <w:sz w:val="24"/>
        </w:rPr>
        <w:t>Journal of the World Aquaculture Society</w:t>
      </w:r>
      <w:r w:rsidRPr="007D363A">
        <w:rPr>
          <w:rFonts w:ascii="Times New Roman" w:hAnsi="Times New Roman"/>
          <w:sz w:val="24"/>
        </w:rPr>
        <w:t xml:space="preserve"> 41 (May): 203–13. </w:t>
      </w:r>
    </w:p>
    <w:p w14:paraId="70192385" w14:textId="77777777" w:rsidR="007D363A" w:rsidRPr="007D363A" w:rsidRDefault="007D363A" w:rsidP="007D363A">
      <w:pPr>
        <w:pStyle w:val="Bibliography"/>
        <w:jc w:val="both"/>
        <w:rPr>
          <w:rFonts w:ascii="Times New Roman" w:hAnsi="Times New Roman"/>
          <w:sz w:val="24"/>
        </w:rPr>
      </w:pPr>
      <w:r w:rsidRPr="007D363A">
        <w:rPr>
          <w:rFonts w:ascii="Times New Roman" w:hAnsi="Times New Roman"/>
          <w:sz w:val="24"/>
        </w:rPr>
        <w:t xml:space="preserve">Amal, MNA, and M Zamri-Saad. 2011. “Streptococcosis in Tilapia (Oreochromis Niloticus): A Review.” </w:t>
      </w:r>
      <w:r w:rsidRPr="007D363A">
        <w:rPr>
          <w:rFonts w:ascii="Times New Roman" w:hAnsi="Times New Roman"/>
          <w:i/>
          <w:iCs/>
          <w:sz w:val="24"/>
        </w:rPr>
        <w:t>Pertanika J. Trop. Agric. Sci.</w:t>
      </w:r>
      <w:r w:rsidRPr="007D363A">
        <w:rPr>
          <w:rFonts w:ascii="Times New Roman" w:hAnsi="Times New Roman"/>
          <w:sz w:val="24"/>
        </w:rPr>
        <w:t xml:space="preserve"> 34 (2): 195–206.</w:t>
      </w:r>
    </w:p>
    <w:p w14:paraId="0F749C4E" w14:textId="2E7EA410" w:rsidR="007D363A" w:rsidRPr="007D363A" w:rsidRDefault="007D363A" w:rsidP="007D363A">
      <w:pPr>
        <w:pStyle w:val="Bibliography"/>
        <w:jc w:val="both"/>
        <w:rPr>
          <w:rFonts w:ascii="Times New Roman" w:hAnsi="Times New Roman"/>
          <w:sz w:val="24"/>
        </w:rPr>
      </w:pPr>
      <w:r w:rsidRPr="007D363A">
        <w:rPr>
          <w:rFonts w:ascii="Times New Roman" w:hAnsi="Times New Roman"/>
          <w:sz w:val="24"/>
        </w:rPr>
        <w:t xml:space="preserve">Anderson, H. Luke, Igor E. Brodsky, and Nilam S. Mangalmurti. 2018. “The Evolving Erythrocyte: Red Blood Cells as Modulators of Innate Immunity.” </w:t>
      </w:r>
      <w:r w:rsidRPr="007D363A">
        <w:rPr>
          <w:rFonts w:ascii="Times New Roman" w:hAnsi="Times New Roman"/>
          <w:i/>
          <w:iCs/>
          <w:sz w:val="24"/>
        </w:rPr>
        <w:t>The Journal of Immunology</w:t>
      </w:r>
      <w:r w:rsidRPr="007D363A">
        <w:rPr>
          <w:rFonts w:ascii="Times New Roman" w:hAnsi="Times New Roman"/>
          <w:sz w:val="24"/>
        </w:rPr>
        <w:t xml:space="preserve"> 201 (5): 1343–51. </w:t>
      </w:r>
    </w:p>
    <w:p w14:paraId="079D20E6" w14:textId="4B68BEE5" w:rsidR="007D363A" w:rsidRPr="007D363A" w:rsidRDefault="007D363A" w:rsidP="007D363A">
      <w:pPr>
        <w:pStyle w:val="Bibliography"/>
        <w:jc w:val="both"/>
        <w:rPr>
          <w:rFonts w:ascii="Times New Roman" w:hAnsi="Times New Roman"/>
          <w:sz w:val="24"/>
        </w:rPr>
      </w:pPr>
      <w:r w:rsidRPr="007D363A">
        <w:rPr>
          <w:rFonts w:ascii="Times New Roman" w:hAnsi="Times New Roman"/>
          <w:sz w:val="24"/>
        </w:rPr>
        <w:t xml:space="preserve">Baba, Esin, Ümit Acar, Canan Öntaş, Osman Sabri Kesbiç, and Sevdan Yılmaz. 2016. “Evaluation of Citrus Limon Peels Essential Oil on Growth Performance, Immune Response of Mozambique Tilapia Oreochromis Mossambicus Challenged with Edwardsiella Tarda.” </w:t>
      </w:r>
      <w:r w:rsidRPr="007D363A">
        <w:rPr>
          <w:rFonts w:ascii="Times New Roman" w:hAnsi="Times New Roman"/>
          <w:i/>
          <w:iCs/>
          <w:sz w:val="24"/>
        </w:rPr>
        <w:t>Aquaculture</w:t>
      </w:r>
      <w:r w:rsidRPr="007D363A">
        <w:rPr>
          <w:rFonts w:ascii="Times New Roman" w:hAnsi="Times New Roman"/>
          <w:sz w:val="24"/>
        </w:rPr>
        <w:t xml:space="preserve"> 465 (December): 13–18..</w:t>
      </w:r>
    </w:p>
    <w:p w14:paraId="3203D2C0" w14:textId="0C70432B" w:rsidR="007D363A" w:rsidRPr="007D363A" w:rsidRDefault="007D363A" w:rsidP="007D363A">
      <w:pPr>
        <w:pStyle w:val="Bibliography"/>
        <w:jc w:val="both"/>
        <w:rPr>
          <w:rFonts w:ascii="Times New Roman" w:hAnsi="Times New Roman"/>
          <w:sz w:val="24"/>
        </w:rPr>
      </w:pPr>
      <w:r w:rsidRPr="007D363A">
        <w:rPr>
          <w:rFonts w:ascii="Times New Roman" w:hAnsi="Times New Roman"/>
          <w:sz w:val="24"/>
        </w:rPr>
        <w:t xml:space="preserve">Che, C. T, Z. J Wang, M Sing, S Chow, C Wai, and K Lam. 2013. “Herb-Herb Combination for Therapeutic Enhancement and Advancement: Theory, Practice and Future Perspectives.” </w:t>
      </w:r>
      <w:r w:rsidRPr="007D363A">
        <w:rPr>
          <w:rFonts w:ascii="Times New Roman" w:hAnsi="Times New Roman"/>
          <w:i/>
          <w:iCs/>
          <w:sz w:val="24"/>
        </w:rPr>
        <w:t>Molecules</w:t>
      </w:r>
      <w:r w:rsidRPr="007D363A">
        <w:rPr>
          <w:rFonts w:ascii="Times New Roman" w:hAnsi="Times New Roman"/>
          <w:sz w:val="24"/>
        </w:rPr>
        <w:t xml:space="preserve"> 18: 5125–41. </w:t>
      </w:r>
    </w:p>
    <w:p w14:paraId="57B8D642" w14:textId="77777777" w:rsidR="007D363A" w:rsidRPr="007D363A" w:rsidRDefault="007D363A" w:rsidP="007D363A">
      <w:pPr>
        <w:pStyle w:val="Bibliography"/>
        <w:jc w:val="both"/>
        <w:rPr>
          <w:rFonts w:ascii="Times New Roman" w:hAnsi="Times New Roman"/>
          <w:sz w:val="24"/>
        </w:rPr>
      </w:pPr>
      <w:r w:rsidRPr="007D363A">
        <w:rPr>
          <w:rFonts w:ascii="Times New Roman" w:hAnsi="Times New Roman"/>
          <w:sz w:val="24"/>
        </w:rPr>
        <w:t xml:space="preserve">Chukwuka, K S, and O M Ojo. 2014. “Extraction and Characterization of Essential Oils from Tithonia Diversifolia (Hemsl.) A . Gray.” </w:t>
      </w:r>
      <w:r w:rsidRPr="007D363A">
        <w:rPr>
          <w:rFonts w:ascii="Times New Roman" w:hAnsi="Times New Roman"/>
          <w:i/>
          <w:iCs/>
          <w:sz w:val="24"/>
        </w:rPr>
        <w:t>American Journal of Essential Oils and Natural Products</w:t>
      </w:r>
      <w:r w:rsidRPr="007D363A">
        <w:rPr>
          <w:rFonts w:ascii="Times New Roman" w:hAnsi="Times New Roman"/>
          <w:sz w:val="24"/>
        </w:rPr>
        <w:t xml:space="preserve"> 1 (4): 1–5.</w:t>
      </w:r>
    </w:p>
    <w:p w14:paraId="690078E4" w14:textId="49CD7248" w:rsidR="007D363A" w:rsidRPr="007D363A" w:rsidRDefault="007D363A" w:rsidP="007D363A">
      <w:pPr>
        <w:pStyle w:val="Bibliography"/>
        <w:jc w:val="both"/>
        <w:rPr>
          <w:rFonts w:ascii="Times New Roman" w:hAnsi="Times New Roman"/>
          <w:sz w:val="24"/>
        </w:rPr>
      </w:pPr>
      <w:r w:rsidRPr="007D363A">
        <w:rPr>
          <w:rFonts w:ascii="Times New Roman" w:hAnsi="Times New Roman"/>
          <w:sz w:val="24"/>
        </w:rPr>
        <w:t xml:space="preserve">Ellis, A. E. 1990. “Lysozyme Assay.” In </w:t>
      </w:r>
      <w:r w:rsidRPr="007D363A">
        <w:rPr>
          <w:rFonts w:ascii="Times New Roman" w:hAnsi="Times New Roman"/>
          <w:i/>
          <w:iCs/>
          <w:sz w:val="24"/>
        </w:rPr>
        <w:t>Techniques in Fish Immunology: Fitc 1</w:t>
      </w:r>
      <w:r w:rsidRPr="007D363A">
        <w:rPr>
          <w:rFonts w:ascii="Times New Roman" w:hAnsi="Times New Roman"/>
          <w:sz w:val="24"/>
        </w:rPr>
        <w:t>, edited by J. S. Stolen, 101–3. California: Sos Publications..</w:t>
      </w:r>
    </w:p>
    <w:p w14:paraId="522AB7A4" w14:textId="69A60DB1" w:rsidR="007D363A" w:rsidRPr="007D363A" w:rsidRDefault="007D363A" w:rsidP="007D363A">
      <w:pPr>
        <w:pStyle w:val="Bibliography"/>
        <w:jc w:val="both"/>
        <w:rPr>
          <w:rFonts w:ascii="Times New Roman" w:hAnsi="Times New Roman"/>
          <w:sz w:val="24"/>
        </w:rPr>
      </w:pPr>
      <w:r w:rsidRPr="007D363A">
        <w:rPr>
          <w:rFonts w:ascii="Times New Roman" w:hAnsi="Times New Roman"/>
          <w:sz w:val="24"/>
        </w:rPr>
        <w:t xml:space="preserve">Ji, Seung Cheol, Osamu Takaoka, Gwan Sik Jeong, Si Woo Lee, Katsuya Ishimaru, Manabu Seoka, and Kenji Takii. 2007. “Dietary Medicinal Herbs Improve Growth and Some Non-Specific Immunity of Red Sea Bream Pagrus Major.” </w:t>
      </w:r>
      <w:r w:rsidRPr="007D363A">
        <w:rPr>
          <w:rFonts w:ascii="Times New Roman" w:hAnsi="Times New Roman"/>
          <w:i/>
          <w:iCs/>
          <w:sz w:val="24"/>
        </w:rPr>
        <w:t>Fisheries Science</w:t>
      </w:r>
      <w:r w:rsidRPr="007D363A">
        <w:rPr>
          <w:rFonts w:ascii="Times New Roman" w:hAnsi="Times New Roman"/>
          <w:sz w:val="24"/>
        </w:rPr>
        <w:t xml:space="preserve"> 73 (1): 63–69. </w:t>
      </w:r>
    </w:p>
    <w:p w14:paraId="4BD3EF3C" w14:textId="226841D4" w:rsidR="007D363A" w:rsidRPr="007D363A" w:rsidRDefault="007D363A" w:rsidP="007D363A">
      <w:pPr>
        <w:pStyle w:val="Bibliography"/>
        <w:jc w:val="both"/>
        <w:rPr>
          <w:rFonts w:ascii="Times New Roman" w:hAnsi="Times New Roman"/>
          <w:sz w:val="24"/>
        </w:rPr>
      </w:pPr>
      <w:r w:rsidRPr="007D363A">
        <w:rPr>
          <w:rFonts w:ascii="Times New Roman" w:hAnsi="Times New Roman"/>
          <w:sz w:val="24"/>
        </w:rPr>
        <w:t xml:space="preserve">Kumar, Rajesh, S. C Mukherjee, Ritesh Ranjan, and S. K Nayak. 2008. “Enhanced Innate Immune Parameters in Labeo Rohita ( Ham .) Following Oral Administration of Bacillus Subtilis Enhanced Innate Immune Parameters in Labeo Rohita ( Ham .) Following Oral Administration of Bacillus Subtilis.” </w:t>
      </w:r>
      <w:r w:rsidRPr="007D363A">
        <w:rPr>
          <w:rFonts w:ascii="Times New Roman" w:hAnsi="Times New Roman"/>
          <w:i/>
          <w:iCs/>
          <w:sz w:val="24"/>
        </w:rPr>
        <w:t>Fish &amp; Shellfish Immunology</w:t>
      </w:r>
      <w:r w:rsidRPr="007D363A">
        <w:rPr>
          <w:rFonts w:ascii="Times New Roman" w:hAnsi="Times New Roman"/>
          <w:sz w:val="24"/>
        </w:rPr>
        <w:t xml:space="preserve"> 24: 168–72. </w:t>
      </w:r>
    </w:p>
    <w:p w14:paraId="1C8DB6C7" w14:textId="14B22587" w:rsidR="007D363A" w:rsidRPr="007D363A" w:rsidRDefault="007D363A" w:rsidP="007D363A">
      <w:pPr>
        <w:pStyle w:val="Bibliography"/>
        <w:jc w:val="both"/>
        <w:rPr>
          <w:rFonts w:ascii="Times New Roman" w:hAnsi="Times New Roman"/>
          <w:sz w:val="24"/>
        </w:rPr>
      </w:pPr>
      <w:r w:rsidRPr="007D363A">
        <w:rPr>
          <w:rFonts w:ascii="Times New Roman" w:hAnsi="Times New Roman"/>
          <w:sz w:val="24"/>
        </w:rPr>
        <w:t xml:space="preserve">Martins, Ml., Jlp. Mouriño, Gv. Amaral, Fn. Vieira, G. Dotta, Amb. Jatobá, Fs. Pedrotti, Gt. Jerônimo, Cc. Buglione-Neto, and G. Pereira-Jr. 2008. “Haematological Changes in Nile Tilapia Experimentally Infected with Enterococcus Sp.” </w:t>
      </w:r>
      <w:r w:rsidRPr="007D363A">
        <w:rPr>
          <w:rFonts w:ascii="Times New Roman" w:hAnsi="Times New Roman"/>
          <w:i/>
          <w:iCs/>
          <w:sz w:val="24"/>
        </w:rPr>
        <w:t>Brazilian Journal of Biology</w:t>
      </w:r>
      <w:r w:rsidRPr="007D363A">
        <w:rPr>
          <w:rFonts w:ascii="Times New Roman" w:hAnsi="Times New Roman"/>
          <w:sz w:val="24"/>
        </w:rPr>
        <w:t xml:space="preserve"> 68 (3): 657–61. </w:t>
      </w:r>
    </w:p>
    <w:p w14:paraId="03A9ABF1" w14:textId="74A1BF66" w:rsidR="007D363A" w:rsidRPr="007D363A" w:rsidRDefault="007D363A" w:rsidP="007D363A">
      <w:pPr>
        <w:pStyle w:val="Bibliography"/>
        <w:jc w:val="both"/>
        <w:rPr>
          <w:rFonts w:ascii="Times New Roman" w:hAnsi="Times New Roman"/>
          <w:sz w:val="24"/>
        </w:rPr>
      </w:pPr>
      <w:r w:rsidRPr="007D363A">
        <w:rPr>
          <w:rFonts w:ascii="Times New Roman" w:hAnsi="Times New Roman"/>
          <w:sz w:val="24"/>
        </w:rPr>
        <w:t>Nafiqoh, Nunak, Sukenda Sukenda, Muhamad Zairin Jr, Alimuddin Alimuddin, Angela Mariana Lusiastuti, and Jean-Christophe Avarre. 2019. “</w:t>
      </w:r>
      <w:r w:rsidR="00C501D1">
        <w:rPr>
          <w:rFonts w:ascii="Times New Roman" w:hAnsi="Times New Roman"/>
          <w:sz w:val="24"/>
        </w:rPr>
        <w:t>S</w:t>
      </w:r>
      <w:r w:rsidR="00C501D1" w:rsidRPr="007D363A">
        <w:rPr>
          <w:rFonts w:ascii="Times New Roman" w:hAnsi="Times New Roman"/>
          <w:sz w:val="24"/>
        </w:rPr>
        <w:t>tatus kesehatan ikan lele</w:t>
      </w:r>
      <w:r w:rsidRPr="007D363A">
        <w:rPr>
          <w:rFonts w:ascii="Times New Roman" w:hAnsi="Times New Roman"/>
          <w:sz w:val="24"/>
        </w:rPr>
        <w:t xml:space="preserve"> (</w:t>
      </w:r>
      <w:r w:rsidRPr="00C501D1">
        <w:rPr>
          <w:rFonts w:ascii="Times New Roman" w:hAnsi="Times New Roman"/>
          <w:i/>
          <w:iCs/>
          <w:sz w:val="24"/>
        </w:rPr>
        <w:t>Clarias gariepinus</w:t>
      </w:r>
      <w:r w:rsidRPr="007D363A">
        <w:rPr>
          <w:rFonts w:ascii="Times New Roman" w:hAnsi="Times New Roman"/>
          <w:sz w:val="24"/>
        </w:rPr>
        <w:t xml:space="preserve">) </w:t>
      </w:r>
      <w:r w:rsidR="00C501D1" w:rsidRPr="007D363A">
        <w:rPr>
          <w:rFonts w:ascii="Times New Roman" w:hAnsi="Times New Roman"/>
          <w:sz w:val="24"/>
        </w:rPr>
        <w:t>yang menerima pakan bersuplemen kombinasi daun sirih</w:t>
      </w:r>
      <w:r w:rsidRPr="007D363A">
        <w:rPr>
          <w:rFonts w:ascii="Times New Roman" w:hAnsi="Times New Roman"/>
          <w:sz w:val="24"/>
        </w:rPr>
        <w:t xml:space="preserve"> (</w:t>
      </w:r>
      <w:r w:rsidRPr="00C501D1">
        <w:rPr>
          <w:rFonts w:ascii="Times New Roman" w:hAnsi="Times New Roman"/>
          <w:i/>
          <w:iCs/>
          <w:sz w:val="24"/>
        </w:rPr>
        <w:t>Piper betle</w:t>
      </w:r>
      <w:r w:rsidRPr="007D363A">
        <w:rPr>
          <w:rFonts w:ascii="Times New Roman" w:hAnsi="Times New Roman"/>
          <w:sz w:val="24"/>
        </w:rPr>
        <w:t xml:space="preserve"> leaf), </w:t>
      </w:r>
      <w:r w:rsidR="00C501D1" w:rsidRPr="007D363A">
        <w:rPr>
          <w:rFonts w:ascii="Times New Roman" w:hAnsi="Times New Roman"/>
          <w:sz w:val="24"/>
        </w:rPr>
        <w:t>jambu biji</w:t>
      </w:r>
      <w:r w:rsidRPr="007D363A">
        <w:rPr>
          <w:rFonts w:ascii="Times New Roman" w:hAnsi="Times New Roman"/>
          <w:sz w:val="24"/>
        </w:rPr>
        <w:t xml:space="preserve"> (</w:t>
      </w:r>
      <w:r w:rsidRPr="00C501D1">
        <w:rPr>
          <w:rFonts w:ascii="Times New Roman" w:hAnsi="Times New Roman"/>
          <w:i/>
          <w:iCs/>
          <w:sz w:val="24"/>
        </w:rPr>
        <w:t>Psidium guajava</w:t>
      </w:r>
      <w:r w:rsidRPr="007D363A">
        <w:rPr>
          <w:rFonts w:ascii="Times New Roman" w:hAnsi="Times New Roman"/>
          <w:sz w:val="24"/>
        </w:rPr>
        <w:t xml:space="preserve"> leaf), </w:t>
      </w:r>
      <w:r w:rsidR="00C501D1" w:rsidRPr="007D363A">
        <w:rPr>
          <w:rFonts w:ascii="Times New Roman" w:hAnsi="Times New Roman"/>
          <w:sz w:val="24"/>
        </w:rPr>
        <w:t>dan kipahit</w:t>
      </w:r>
      <w:r w:rsidRPr="007D363A">
        <w:rPr>
          <w:rFonts w:ascii="Times New Roman" w:hAnsi="Times New Roman"/>
          <w:sz w:val="24"/>
        </w:rPr>
        <w:t xml:space="preserve"> (</w:t>
      </w:r>
      <w:r w:rsidRPr="00C501D1">
        <w:rPr>
          <w:rFonts w:ascii="Times New Roman" w:hAnsi="Times New Roman"/>
          <w:i/>
          <w:iCs/>
          <w:sz w:val="24"/>
        </w:rPr>
        <w:t>Tithonia diversifolia</w:t>
      </w:r>
      <w:r w:rsidRPr="007D363A">
        <w:rPr>
          <w:rFonts w:ascii="Times New Roman" w:hAnsi="Times New Roman"/>
          <w:sz w:val="24"/>
        </w:rPr>
        <w:t xml:space="preserve"> leaf).” </w:t>
      </w:r>
      <w:r w:rsidRPr="007D363A">
        <w:rPr>
          <w:rFonts w:ascii="Times New Roman" w:hAnsi="Times New Roman"/>
          <w:i/>
          <w:iCs/>
          <w:sz w:val="24"/>
        </w:rPr>
        <w:t>Jurnal Riset Akuakultur</w:t>
      </w:r>
      <w:r w:rsidRPr="007D363A">
        <w:rPr>
          <w:rFonts w:ascii="Times New Roman" w:hAnsi="Times New Roman"/>
          <w:sz w:val="24"/>
        </w:rPr>
        <w:t xml:space="preserve"> 13 (4): 357. </w:t>
      </w:r>
    </w:p>
    <w:p w14:paraId="1F35E025" w14:textId="7C3898FF" w:rsidR="007D363A" w:rsidRPr="007D363A" w:rsidRDefault="007D363A" w:rsidP="007D363A">
      <w:pPr>
        <w:pStyle w:val="Bibliography"/>
        <w:jc w:val="both"/>
        <w:rPr>
          <w:rFonts w:ascii="Times New Roman" w:hAnsi="Times New Roman"/>
          <w:sz w:val="24"/>
        </w:rPr>
      </w:pPr>
      <w:r w:rsidRPr="007D363A">
        <w:rPr>
          <w:rFonts w:ascii="Times New Roman" w:hAnsi="Times New Roman"/>
          <w:sz w:val="24"/>
        </w:rPr>
        <w:lastRenderedPageBreak/>
        <w:t xml:space="preserve">Nafiqoh, Nunak, Sukenda, M. Zairin, Alimuddin, Angela Lusiastuti, Samira Sarter, Domenico Caruso, and Jean-Christophe Avarre. 2019. “Antimicrobial Properties against Aeromonas Hydrophila and Immunostimulant Effect on Clarias Gariepinus of Piper Betle, Psidium Guajava, and Tithonia Diversifolia Plants.” </w:t>
      </w:r>
      <w:r w:rsidRPr="007D363A">
        <w:rPr>
          <w:rFonts w:ascii="Times New Roman" w:hAnsi="Times New Roman"/>
          <w:i/>
          <w:iCs/>
          <w:sz w:val="24"/>
        </w:rPr>
        <w:t>Aquaculture International</w:t>
      </w:r>
      <w:r w:rsidRPr="007D363A">
        <w:rPr>
          <w:rFonts w:ascii="Times New Roman" w:hAnsi="Times New Roman"/>
          <w:sz w:val="24"/>
        </w:rPr>
        <w:t xml:space="preserve">, August. </w:t>
      </w:r>
    </w:p>
    <w:p w14:paraId="70E4A9A1" w14:textId="2252730A" w:rsidR="007D363A" w:rsidRPr="007D363A" w:rsidRDefault="007D363A" w:rsidP="007D363A">
      <w:pPr>
        <w:pStyle w:val="Bibliography"/>
        <w:jc w:val="both"/>
        <w:rPr>
          <w:rFonts w:ascii="Times New Roman" w:hAnsi="Times New Roman"/>
          <w:sz w:val="24"/>
        </w:rPr>
      </w:pPr>
      <w:r w:rsidRPr="007D363A">
        <w:rPr>
          <w:rFonts w:ascii="Times New Roman" w:hAnsi="Times New Roman"/>
          <w:sz w:val="24"/>
        </w:rPr>
        <w:t xml:space="preserve">Ngugi, Charles C., Elijah Oyoo-Okoth, James Mugo-Bundi, Paul Sagwe Orina, Emily Jepyegon Chemoiwa, and Peninah A. Aloo. 2015. “Effects of Dietary Administration of Stinging Nettle (Urtica Dioica) on the Growth Performance, Biochemical, Hematological and Immunological Parameters in Juvenile and Adult Victoria Labeo (Labeo Victorianus) Challenged with Aeromonas Hydrophila.” </w:t>
      </w:r>
      <w:r w:rsidRPr="007D363A">
        <w:rPr>
          <w:rFonts w:ascii="Times New Roman" w:hAnsi="Times New Roman"/>
          <w:i/>
          <w:iCs/>
          <w:sz w:val="24"/>
        </w:rPr>
        <w:t>Fish and Shellfish Immunology</w:t>
      </w:r>
      <w:r w:rsidRPr="007D363A">
        <w:rPr>
          <w:rFonts w:ascii="Times New Roman" w:hAnsi="Times New Roman"/>
          <w:sz w:val="24"/>
        </w:rPr>
        <w:t xml:space="preserve"> 44 (2): 533–41. </w:t>
      </w:r>
    </w:p>
    <w:p w14:paraId="0F4C7C8D" w14:textId="77777777" w:rsidR="007D363A" w:rsidRPr="007D363A" w:rsidRDefault="007D363A" w:rsidP="007D363A">
      <w:pPr>
        <w:pStyle w:val="Bibliography"/>
        <w:jc w:val="both"/>
        <w:rPr>
          <w:rFonts w:ascii="Times New Roman" w:hAnsi="Times New Roman"/>
          <w:sz w:val="24"/>
        </w:rPr>
      </w:pPr>
      <w:r w:rsidRPr="007D363A">
        <w:rPr>
          <w:rFonts w:ascii="Times New Roman" w:hAnsi="Times New Roman"/>
          <w:sz w:val="24"/>
        </w:rPr>
        <w:t xml:space="preserve">Pradhan, D, K A Suri, D K Pradhan, and P Biswasroy. 2013. “Golden Heart of the Nature : Piper Betle L .” </w:t>
      </w:r>
      <w:r w:rsidRPr="007D363A">
        <w:rPr>
          <w:rFonts w:ascii="Times New Roman" w:hAnsi="Times New Roman"/>
          <w:i/>
          <w:iCs/>
          <w:sz w:val="24"/>
        </w:rPr>
        <w:t>Journal of Pharmacognosy and Phytochemistry</w:t>
      </w:r>
      <w:r w:rsidRPr="007D363A">
        <w:rPr>
          <w:rFonts w:ascii="Times New Roman" w:hAnsi="Times New Roman"/>
          <w:sz w:val="24"/>
        </w:rPr>
        <w:t xml:space="preserve"> 1 (6): 147–67.</w:t>
      </w:r>
    </w:p>
    <w:p w14:paraId="0452F8D4" w14:textId="77777777" w:rsidR="007D363A" w:rsidRPr="007D363A" w:rsidRDefault="007D363A" w:rsidP="007D363A">
      <w:pPr>
        <w:pStyle w:val="Bibliography"/>
        <w:jc w:val="both"/>
        <w:rPr>
          <w:rFonts w:ascii="Times New Roman" w:hAnsi="Times New Roman"/>
          <w:sz w:val="24"/>
        </w:rPr>
      </w:pPr>
      <w:r w:rsidRPr="007D363A">
        <w:rPr>
          <w:rFonts w:ascii="Times New Roman" w:hAnsi="Times New Roman"/>
          <w:sz w:val="24"/>
        </w:rPr>
        <w:t xml:space="preserve">Suhermanto, Achmad, Sukenda Sukenda, Muhammad Zairin Jr, Angela M Lusiastuti, and Sri Nuryati. 2019. “Characterization of Streptococcus Agalactiae Bacterium Isolated from Tilapia (Oreochromis Niloticus) Culture in Indonesia.” </w:t>
      </w:r>
      <w:r w:rsidRPr="007D363A">
        <w:rPr>
          <w:rFonts w:ascii="Times New Roman" w:hAnsi="Times New Roman"/>
          <w:i/>
          <w:iCs/>
          <w:sz w:val="24"/>
        </w:rPr>
        <w:t>AACL Bioflux</w:t>
      </w:r>
      <w:r w:rsidRPr="007D363A">
        <w:rPr>
          <w:rFonts w:ascii="Times New Roman" w:hAnsi="Times New Roman"/>
          <w:sz w:val="24"/>
        </w:rPr>
        <w:t xml:space="preserve"> 12 (3): 11.</w:t>
      </w:r>
    </w:p>
    <w:p w14:paraId="7E209B0E" w14:textId="5013F89C" w:rsidR="007D363A" w:rsidRPr="007D363A" w:rsidRDefault="007D363A" w:rsidP="007D363A">
      <w:pPr>
        <w:pStyle w:val="Bibliography"/>
        <w:jc w:val="both"/>
        <w:rPr>
          <w:rFonts w:ascii="Times New Roman" w:hAnsi="Times New Roman"/>
          <w:sz w:val="24"/>
        </w:rPr>
      </w:pPr>
      <w:r w:rsidRPr="007D363A">
        <w:rPr>
          <w:rFonts w:ascii="Times New Roman" w:hAnsi="Times New Roman"/>
          <w:sz w:val="24"/>
        </w:rPr>
        <w:t xml:space="preserve">Vallejos-Vidal, Eva, Felipe Reyes-López, Mariana Teles, and Simon MacKenzie. 2016. “The Response of Fish to Immunostimulant Diets.” </w:t>
      </w:r>
      <w:r w:rsidRPr="007D363A">
        <w:rPr>
          <w:rFonts w:ascii="Times New Roman" w:hAnsi="Times New Roman"/>
          <w:i/>
          <w:iCs/>
          <w:sz w:val="24"/>
        </w:rPr>
        <w:t>Fish &amp; Shellfish Immunology</w:t>
      </w:r>
      <w:r w:rsidRPr="007D363A">
        <w:rPr>
          <w:rFonts w:ascii="Times New Roman" w:hAnsi="Times New Roman"/>
          <w:sz w:val="24"/>
        </w:rPr>
        <w:t xml:space="preserve"> 56 (September): 34–69. </w:t>
      </w:r>
    </w:p>
    <w:p w14:paraId="30DFE4E0" w14:textId="53170A51" w:rsidR="007D363A" w:rsidRDefault="007D363A" w:rsidP="00C501D1">
      <w:pPr>
        <w:pStyle w:val="Bibliography"/>
        <w:jc w:val="both"/>
        <w:rPr>
          <w:rFonts w:ascii="Times New Roman" w:hAnsi="Times New Roman"/>
          <w:sz w:val="24"/>
          <w:szCs w:val="24"/>
        </w:rPr>
      </w:pPr>
      <w:r w:rsidRPr="007D363A">
        <w:rPr>
          <w:rFonts w:ascii="Times New Roman" w:hAnsi="Times New Roman"/>
          <w:sz w:val="24"/>
        </w:rPr>
        <w:t xml:space="preserve">Yang, Ran, Lanlan Yu, Huajin Zeng, Ruiling Liang, Xiaolan Chen, and Lingbo Qu. 2012. “The Interaction of Flavonoid-Lysozyme and the Relationship between Molecular Structure of Flavonoids and Their Binding Activity to Lysozyme.” </w:t>
      </w:r>
      <w:r w:rsidRPr="007D363A">
        <w:rPr>
          <w:rFonts w:ascii="Times New Roman" w:hAnsi="Times New Roman"/>
          <w:i/>
          <w:iCs/>
          <w:sz w:val="24"/>
        </w:rPr>
        <w:t>Journal of Fluorescence</w:t>
      </w:r>
      <w:r w:rsidRPr="007D363A">
        <w:rPr>
          <w:rFonts w:ascii="Times New Roman" w:hAnsi="Times New Roman"/>
          <w:sz w:val="24"/>
        </w:rPr>
        <w:t xml:space="preserve"> 22 (6): 1449–59. </w:t>
      </w:r>
      <w:r>
        <w:rPr>
          <w:rFonts w:ascii="Times New Roman" w:hAnsi="Times New Roman"/>
          <w:sz w:val="24"/>
          <w:szCs w:val="24"/>
        </w:rPr>
        <w:fldChar w:fldCharType="end"/>
      </w:r>
    </w:p>
    <w:sectPr w:rsidR="007D363A" w:rsidSect="000004FB">
      <w:headerReference w:type="even" r:id="rId16"/>
      <w:headerReference w:type="default" r:id="rId17"/>
      <w:footerReference w:type="even" r:id="rId18"/>
      <w:footerReference w:type="default" r:id="rId19"/>
      <w:headerReference w:type="first" r:id="rId20"/>
      <w:footerReference w:type="first" r:id="rId21"/>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4359F" w14:textId="77777777" w:rsidR="00EA682C" w:rsidRDefault="00EA682C" w:rsidP="0002177F">
      <w:pPr>
        <w:spacing w:after="0" w:line="240" w:lineRule="auto"/>
      </w:pPr>
      <w:r>
        <w:separator/>
      </w:r>
    </w:p>
  </w:endnote>
  <w:endnote w:type="continuationSeparator" w:id="0">
    <w:p w14:paraId="7634F1DC" w14:textId="77777777" w:rsidR="00EA682C" w:rsidRDefault="00EA682C" w:rsidP="0002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BB942" w14:textId="77777777" w:rsidR="0002177F" w:rsidRDefault="00021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B0457" w14:textId="77777777" w:rsidR="0002177F" w:rsidRDefault="00021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BEBD9" w14:textId="77777777" w:rsidR="0002177F" w:rsidRDefault="00021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5F313" w14:textId="77777777" w:rsidR="00EA682C" w:rsidRDefault="00EA682C" w:rsidP="0002177F">
      <w:pPr>
        <w:spacing w:after="0" w:line="240" w:lineRule="auto"/>
      </w:pPr>
      <w:r>
        <w:separator/>
      </w:r>
    </w:p>
  </w:footnote>
  <w:footnote w:type="continuationSeparator" w:id="0">
    <w:p w14:paraId="460CE3F7" w14:textId="77777777" w:rsidR="00EA682C" w:rsidRDefault="00EA682C" w:rsidP="00021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4F75B" w14:textId="77777777" w:rsidR="0002177F" w:rsidRDefault="00021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63F3F" w14:textId="77777777" w:rsidR="0002177F" w:rsidRDefault="00021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9123C" w14:textId="77777777" w:rsidR="0002177F" w:rsidRDefault="0002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056081"/>
    <w:multiLevelType w:val="hybridMultilevel"/>
    <w:tmpl w:val="EEE2FFA8"/>
    <w:lvl w:ilvl="0" w:tplc="8C4E20E4">
      <w:start w:val="1"/>
      <w:numFmt w:val="bullet"/>
      <w:lvlText w:val=""/>
      <w:lvlJc w:val="left"/>
      <w:pPr>
        <w:tabs>
          <w:tab w:val="num" w:pos="720"/>
        </w:tabs>
        <w:ind w:left="720" w:hanging="360"/>
      </w:pPr>
      <w:rPr>
        <w:rFonts w:ascii="Wingdings" w:hAnsi="Wingdings" w:hint="default"/>
      </w:rPr>
    </w:lvl>
    <w:lvl w:ilvl="1" w:tplc="4D3EBBCE">
      <w:start w:val="1"/>
      <w:numFmt w:val="bullet"/>
      <w:lvlText w:val=""/>
      <w:lvlJc w:val="left"/>
      <w:pPr>
        <w:tabs>
          <w:tab w:val="num" w:pos="1440"/>
        </w:tabs>
        <w:ind w:left="1440" w:hanging="360"/>
      </w:pPr>
      <w:rPr>
        <w:rFonts w:ascii="Wingdings" w:hAnsi="Wingdings" w:hint="default"/>
      </w:rPr>
    </w:lvl>
    <w:lvl w:ilvl="2" w:tplc="753AC100">
      <w:start w:val="1"/>
      <w:numFmt w:val="bullet"/>
      <w:lvlText w:val=""/>
      <w:lvlJc w:val="left"/>
      <w:pPr>
        <w:tabs>
          <w:tab w:val="num" w:pos="2160"/>
        </w:tabs>
        <w:ind w:left="2160" w:hanging="360"/>
      </w:pPr>
      <w:rPr>
        <w:rFonts w:ascii="Wingdings" w:hAnsi="Wingdings" w:hint="default"/>
      </w:rPr>
    </w:lvl>
    <w:lvl w:ilvl="3" w:tplc="CC6CD32E">
      <w:start w:val="1"/>
      <w:numFmt w:val="bullet"/>
      <w:lvlText w:val=""/>
      <w:lvlJc w:val="left"/>
      <w:pPr>
        <w:tabs>
          <w:tab w:val="num" w:pos="2880"/>
        </w:tabs>
        <w:ind w:left="2880" w:hanging="360"/>
      </w:pPr>
      <w:rPr>
        <w:rFonts w:ascii="Wingdings" w:hAnsi="Wingdings" w:hint="default"/>
      </w:rPr>
    </w:lvl>
    <w:lvl w:ilvl="4" w:tplc="1B389586">
      <w:start w:val="1"/>
      <w:numFmt w:val="bullet"/>
      <w:lvlText w:val=""/>
      <w:lvlJc w:val="left"/>
      <w:pPr>
        <w:tabs>
          <w:tab w:val="num" w:pos="3600"/>
        </w:tabs>
        <w:ind w:left="3600" w:hanging="360"/>
      </w:pPr>
      <w:rPr>
        <w:rFonts w:ascii="Wingdings" w:hAnsi="Wingdings" w:hint="default"/>
      </w:rPr>
    </w:lvl>
    <w:lvl w:ilvl="5" w:tplc="DB76D68A">
      <w:start w:val="1"/>
      <w:numFmt w:val="bullet"/>
      <w:lvlText w:val=""/>
      <w:lvlJc w:val="left"/>
      <w:pPr>
        <w:tabs>
          <w:tab w:val="num" w:pos="4320"/>
        </w:tabs>
        <w:ind w:left="4320" w:hanging="360"/>
      </w:pPr>
      <w:rPr>
        <w:rFonts w:ascii="Wingdings" w:hAnsi="Wingdings" w:hint="default"/>
      </w:rPr>
    </w:lvl>
    <w:lvl w:ilvl="6" w:tplc="FBC8E160">
      <w:start w:val="1"/>
      <w:numFmt w:val="bullet"/>
      <w:lvlText w:val=""/>
      <w:lvlJc w:val="left"/>
      <w:pPr>
        <w:tabs>
          <w:tab w:val="num" w:pos="5040"/>
        </w:tabs>
        <w:ind w:left="5040" w:hanging="360"/>
      </w:pPr>
      <w:rPr>
        <w:rFonts w:ascii="Wingdings" w:hAnsi="Wingdings" w:hint="default"/>
      </w:rPr>
    </w:lvl>
    <w:lvl w:ilvl="7" w:tplc="DF9880C2">
      <w:start w:val="1"/>
      <w:numFmt w:val="bullet"/>
      <w:lvlText w:val=""/>
      <w:lvlJc w:val="left"/>
      <w:pPr>
        <w:tabs>
          <w:tab w:val="num" w:pos="5760"/>
        </w:tabs>
        <w:ind w:left="5760" w:hanging="360"/>
      </w:pPr>
      <w:rPr>
        <w:rFonts w:ascii="Wingdings" w:hAnsi="Wingdings" w:hint="default"/>
      </w:rPr>
    </w:lvl>
    <w:lvl w:ilvl="8" w:tplc="0734CC8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0C7CE9"/>
    <w:multiLevelType w:val="hybridMultilevel"/>
    <w:tmpl w:val="FF248D7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B1"/>
    <w:rsid w:val="000004FB"/>
    <w:rsid w:val="00005622"/>
    <w:rsid w:val="0002177F"/>
    <w:rsid w:val="0003067A"/>
    <w:rsid w:val="000405F2"/>
    <w:rsid w:val="00043CEE"/>
    <w:rsid w:val="000462C6"/>
    <w:rsid w:val="00056A4A"/>
    <w:rsid w:val="000901F9"/>
    <w:rsid w:val="00090E80"/>
    <w:rsid w:val="000C41F5"/>
    <w:rsid w:val="000D5429"/>
    <w:rsid w:val="000F4EE3"/>
    <w:rsid w:val="00131E54"/>
    <w:rsid w:val="00173249"/>
    <w:rsid w:val="001A0DBC"/>
    <w:rsid w:val="001B13F1"/>
    <w:rsid w:val="001B48F6"/>
    <w:rsid w:val="001B5FB9"/>
    <w:rsid w:val="001C409C"/>
    <w:rsid w:val="001D1631"/>
    <w:rsid w:val="001D701D"/>
    <w:rsid w:val="001E13F7"/>
    <w:rsid w:val="001F4C30"/>
    <w:rsid w:val="00204671"/>
    <w:rsid w:val="00211BD1"/>
    <w:rsid w:val="00246D70"/>
    <w:rsid w:val="00251835"/>
    <w:rsid w:val="00254482"/>
    <w:rsid w:val="002A3058"/>
    <w:rsid w:val="002C0A6A"/>
    <w:rsid w:val="002E2E3C"/>
    <w:rsid w:val="002E2FFD"/>
    <w:rsid w:val="002F3437"/>
    <w:rsid w:val="002F4FF0"/>
    <w:rsid w:val="003213DD"/>
    <w:rsid w:val="003360C5"/>
    <w:rsid w:val="00384FAF"/>
    <w:rsid w:val="003B1622"/>
    <w:rsid w:val="003D2AE8"/>
    <w:rsid w:val="003F59CB"/>
    <w:rsid w:val="00417EED"/>
    <w:rsid w:val="0043765D"/>
    <w:rsid w:val="004603A0"/>
    <w:rsid w:val="00471AB5"/>
    <w:rsid w:val="00490C1D"/>
    <w:rsid w:val="004C4C5D"/>
    <w:rsid w:val="004E4B7A"/>
    <w:rsid w:val="00502BEC"/>
    <w:rsid w:val="005147C1"/>
    <w:rsid w:val="00521973"/>
    <w:rsid w:val="00526B50"/>
    <w:rsid w:val="00542E27"/>
    <w:rsid w:val="00562D28"/>
    <w:rsid w:val="00563F32"/>
    <w:rsid w:val="005749BD"/>
    <w:rsid w:val="00577FE7"/>
    <w:rsid w:val="00582E3E"/>
    <w:rsid w:val="005B3EB5"/>
    <w:rsid w:val="005B737F"/>
    <w:rsid w:val="005C4068"/>
    <w:rsid w:val="005C5B5D"/>
    <w:rsid w:val="005D624F"/>
    <w:rsid w:val="005E621F"/>
    <w:rsid w:val="005F24D7"/>
    <w:rsid w:val="00616FAC"/>
    <w:rsid w:val="00650A0F"/>
    <w:rsid w:val="00660AA4"/>
    <w:rsid w:val="00667170"/>
    <w:rsid w:val="006673BA"/>
    <w:rsid w:val="0067752C"/>
    <w:rsid w:val="006D02E3"/>
    <w:rsid w:val="006D25F3"/>
    <w:rsid w:val="006E1667"/>
    <w:rsid w:val="006E57D9"/>
    <w:rsid w:val="006E5C65"/>
    <w:rsid w:val="006F2A2B"/>
    <w:rsid w:val="006F6823"/>
    <w:rsid w:val="00700A0E"/>
    <w:rsid w:val="0074160D"/>
    <w:rsid w:val="0079415D"/>
    <w:rsid w:val="007D363A"/>
    <w:rsid w:val="00814466"/>
    <w:rsid w:val="00816105"/>
    <w:rsid w:val="00826D0F"/>
    <w:rsid w:val="008602E8"/>
    <w:rsid w:val="008659DC"/>
    <w:rsid w:val="00892C57"/>
    <w:rsid w:val="00896A4F"/>
    <w:rsid w:val="008B512A"/>
    <w:rsid w:val="008E006D"/>
    <w:rsid w:val="008F6D7D"/>
    <w:rsid w:val="009401AA"/>
    <w:rsid w:val="00972AEE"/>
    <w:rsid w:val="00993CA7"/>
    <w:rsid w:val="00995253"/>
    <w:rsid w:val="009A2E41"/>
    <w:rsid w:val="009B1366"/>
    <w:rsid w:val="009E6B99"/>
    <w:rsid w:val="009F7F9F"/>
    <w:rsid w:val="00A506C9"/>
    <w:rsid w:val="00A57374"/>
    <w:rsid w:val="00A61B66"/>
    <w:rsid w:val="00A76804"/>
    <w:rsid w:val="00A76CB7"/>
    <w:rsid w:val="00A86722"/>
    <w:rsid w:val="00A91025"/>
    <w:rsid w:val="00AE6964"/>
    <w:rsid w:val="00B2188B"/>
    <w:rsid w:val="00B23EA7"/>
    <w:rsid w:val="00B258B1"/>
    <w:rsid w:val="00B474B0"/>
    <w:rsid w:val="00B80755"/>
    <w:rsid w:val="00BB20AA"/>
    <w:rsid w:val="00BC2600"/>
    <w:rsid w:val="00BC2AA7"/>
    <w:rsid w:val="00BE22A4"/>
    <w:rsid w:val="00C05686"/>
    <w:rsid w:val="00C21644"/>
    <w:rsid w:val="00C21BC9"/>
    <w:rsid w:val="00C24EEB"/>
    <w:rsid w:val="00C30F02"/>
    <w:rsid w:val="00C30FED"/>
    <w:rsid w:val="00C36414"/>
    <w:rsid w:val="00C36AE3"/>
    <w:rsid w:val="00C40B2E"/>
    <w:rsid w:val="00C412D3"/>
    <w:rsid w:val="00C501D1"/>
    <w:rsid w:val="00C61D39"/>
    <w:rsid w:val="00C6490A"/>
    <w:rsid w:val="00C71CD0"/>
    <w:rsid w:val="00C76DE0"/>
    <w:rsid w:val="00C808D9"/>
    <w:rsid w:val="00C8678B"/>
    <w:rsid w:val="00C8798A"/>
    <w:rsid w:val="00C95E33"/>
    <w:rsid w:val="00CA17A6"/>
    <w:rsid w:val="00CA70CE"/>
    <w:rsid w:val="00CA72C5"/>
    <w:rsid w:val="00CB15C2"/>
    <w:rsid w:val="00CC1433"/>
    <w:rsid w:val="00CE4AC9"/>
    <w:rsid w:val="00D14382"/>
    <w:rsid w:val="00D34F8C"/>
    <w:rsid w:val="00D4005A"/>
    <w:rsid w:val="00DB4B40"/>
    <w:rsid w:val="00DB62E8"/>
    <w:rsid w:val="00DC22A3"/>
    <w:rsid w:val="00DC7550"/>
    <w:rsid w:val="00DD23D9"/>
    <w:rsid w:val="00DE3A68"/>
    <w:rsid w:val="00E05973"/>
    <w:rsid w:val="00E20910"/>
    <w:rsid w:val="00E3113C"/>
    <w:rsid w:val="00E65ABC"/>
    <w:rsid w:val="00E66C52"/>
    <w:rsid w:val="00E714E7"/>
    <w:rsid w:val="00EA123A"/>
    <w:rsid w:val="00EA682C"/>
    <w:rsid w:val="00EC21B0"/>
    <w:rsid w:val="00EC73BE"/>
    <w:rsid w:val="00ED0455"/>
    <w:rsid w:val="00F376FC"/>
    <w:rsid w:val="00F42810"/>
    <w:rsid w:val="00F45EED"/>
    <w:rsid w:val="00F52EEF"/>
    <w:rsid w:val="00F5508F"/>
    <w:rsid w:val="00F60172"/>
    <w:rsid w:val="00F85890"/>
    <w:rsid w:val="00FA1867"/>
    <w:rsid w:val="00FA7141"/>
    <w:rsid w:val="00FB1260"/>
    <w:rsid w:val="00FC0671"/>
    <w:rsid w:val="00FF51FC"/>
    <w:rsid w:val="00FF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7F9A"/>
  <w15:docId w15:val="{4CB6C61C-2441-41A1-AEF3-96ABCECD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6A4F"/>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4C4C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4C5D"/>
    <w:rPr>
      <w:rFonts w:ascii="Tahoma" w:hAnsi="Tahoma" w:cs="Tahoma"/>
      <w:sz w:val="16"/>
      <w:szCs w:val="16"/>
    </w:rPr>
  </w:style>
  <w:style w:type="paragraph" w:customStyle="1" w:styleId="Paragraf">
    <w:name w:val="Paragraf"/>
    <w:basedOn w:val="Normal"/>
    <w:link w:val="ParagrafChar"/>
    <w:qFormat/>
    <w:rsid w:val="00005622"/>
    <w:pPr>
      <w:spacing w:after="200" w:line="276" w:lineRule="auto"/>
    </w:pPr>
    <w:rPr>
      <w:rFonts w:ascii="Times New Roman" w:eastAsia="MS Mincho" w:hAnsi="Times New Roman" w:cs="Arial"/>
      <w:sz w:val="24"/>
      <w:lang w:val="id-ID"/>
    </w:rPr>
  </w:style>
  <w:style w:type="character" w:customStyle="1" w:styleId="ParagrafChar">
    <w:name w:val="Paragraf Char"/>
    <w:link w:val="Paragraf"/>
    <w:rsid w:val="00005622"/>
    <w:rPr>
      <w:rFonts w:ascii="Times New Roman" w:eastAsia="MS Mincho" w:hAnsi="Times New Roman" w:cs="Arial"/>
      <w:sz w:val="24"/>
      <w:lang w:val="id-ID"/>
    </w:rPr>
  </w:style>
  <w:style w:type="character" w:customStyle="1" w:styleId="tgc">
    <w:name w:val="_tgc"/>
    <w:basedOn w:val="DefaultParagraphFont"/>
    <w:rsid w:val="00005622"/>
  </w:style>
  <w:style w:type="table" w:styleId="TableGrid">
    <w:name w:val="Table Grid"/>
    <w:basedOn w:val="TableNormal"/>
    <w:uiPriority w:val="39"/>
    <w:rsid w:val="00C30F02"/>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phy">
    <w:name w:val="Bibliography"/>
    <w:basedOn w:val="Normal"/>
    <w:next w:val="Normal"/>
    <w:uiPriority w:val="37"/>
    <w:unhideWhenUsed/>
    <w:rsid w:val="008B512A"/>
    <w:pPr>
      <w:spacing w:after="0" w:line="240" w:lineRule="auto"/>
      <w:ind w:left="720" w:hanging="720"/>
    </w:pPr>
  </w:style>
  <w:style w:type="paragraph" w:styleId="Header">
    <w:name w:val="header"/>
    <w:basedOn w:val="Normal"/>
    <w:link w:val="HeaderChar"/>
    <w:uiPriority w:val="99"/>
    <w:unhideWhenUsed/>
    <w:rsid w:val="00021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77F"/>
  </w:style>
  <w:style w:type="paragraph" w:styleId="Footer">
    <w:name w:val="footer"/>
    <w:basedOn w:val="Normal"/>
    <w:link w:val="FooterChar"/>
    <w:uiPriority w:val="99"/>
    <w:unhideWhenUsed/>
    <w:rsid w:val="00021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77F"/>
  </w:style>
  <w:style w:type="paragraph" w:styleId="HTMLPreformatted">
    <w:name w:val="HTML Preformatted"/>
    <w:basedOn w:val="Normal"/>
    <w:link w:val="HTMLPreformattedChar"/>
    <w:uiPriority w:val="99"/>
    <w:semiHidden/>
    <w:unhideWhenUsed/>
    <w:rsid w:val="002F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2F4FF0"/>
    <w:rPr>
      <w:rFonts w:ascii="Courier New" w:eastAsia="Times New Roman" w:hAnsi="Courier New" w:cs="Courier New"/>
      <w:sz w:val="20"/>
      <w:szCs w:val="20"/>
      <w:lang w:eastAsia="en-GB"/>
    </w:rPr>
  </w:style>
  <w:style w:type="paragraph" w:styleId="ListParagraph">
    <w:name w:val="List Paragraph"/>
    <w:basedOn w:val="Normal"/>
    <w:uiPriority w:val="34"/>
    <w:qFormat/>
    <w:rsid w:val="00D14382"/>
    <w:pPr>
      <w:spacing w:after="200" w:line="276" w:lineRule="auto"/>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04518">
      <w:bodyDiv w:val="1"/>
      <w:marLeft w:val="0"/>
      <w:marRight w:val="0"/>
      <w:marTop w:val="0"/>
      <w:marBottom w:val="0"/>
      <w:divBdr>
        <w:top w:val="none" w:sz="0" w:space="0" w:color="auto"/>
        <w:left w:val="none" w:sz="0" w:space="0" w:color="auto"/>
        <w:bottom w:val="none" w:sz="0" w:space="0" w:color="auto"/>
        <w:right w:val="none" w:sz="0" w:space="0" w:color="auto"/>
      </w:divBdr>
    </w:div>
    <w:div w:id="547567643">
      <w:bodyDiv w:val="1"/>
      <w:marLeft w:val="0"/>
      <w:marRight w:val="0"/>
      <w:marTop w:val="0"/>
      <w:marBottom w:val="0"/>
      <w:divBdr>
        <w:top w:val="none" w:sz="0" w:space="0" w:color="auto"/>
        <w:left w:val="none" w:sz="0" w:space="0" w:color="auto"/>
        <w:bottom w:val="none" w:sz="0" w:space="0" w:color="auto"/>
        <w:right w:val="none" w:sz="0" w:space="0" w:color="auto"/>
      </w:divBdr>
    </w:div>
    <w:div w:id="614211894">
      <w:bodyDiv w:val="1"/>
      <w:marLeft w:val="0"/>
      <w:marRight w:val="0"/>
      <w:marTop w:val="0"/>
      <w:marBottom w:val="0"/>
      <w:divBdr>
        <w:top w:val="none" w:sz="0" w:space="0" w:color="auto"/>
        <w:left w:val="none" w:sz="0" w:space="0" w:color="auto"/>
        <w:bottom w:val="none" w:sz="0" w:space="0" w:color="auto"/>
        <w:right w:val="none" w:sz="0" w:space="0" w:color="auto"/>
      </w:divBdr>
    </w:div>
    <w:div w:id="646133810">
      <w:bodyDiv w:val="1"/>
      <w:marLeft w:val="0"/>
      <w:marRight w:val="0"/>
      <w:marTop w:val="0"/>
      <w:marBottom w:val="0"/>
      <w:divBdr>
        <w:top w:val="none" w:sz="0" w:space="0" w:color="auto"/>
        <w:left w:val="none" w:sz="0" w:space="0" w:color="auto"/>
        <w:bottom w:val="none" w:sz="0" w:space="0" w:color="auto"/>
        <w:right w:val="none" w:sz="0" w:space="0" w:color="auto"/>
      </w:divBdr>
    </w:div>
    <w:div w:id="1044716742">
      <w:bodyDiv w:val="1"/>
      <w:marLeft w:val="0"/>
      <w:marRight w:val="0"/>
      <w:marTop w:val="0"/>
      <w:marBottom w:val="0"/>
      <w:divBdr>
        <w:top w:val="none" w:sz="0" w:space="0" w:color="auto"/>
        <w:left w:val="none" w:sz="0" w:space="0" w:color="auto"/>
        <w:bottom w:val="none" w:sz="0" w:space="0" w:color="auto"/>
        <w:right w:val="none" w:sz="0" w:space="0" w:color="auto"/>
      </w:divBdr>
    </w:div>
    <w:div w:id="210726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2019\riset\data\h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019\riset\data\rbc_wbc.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019\riset\data\rbc_wbc.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019\riset\data\nbt-lis.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019\riset\data\nbt-lis.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2019\riset\data\pertumbuhan.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2019\riset\data\pertumbuhan.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D:\2019\riset\data\uji_tantang.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dipakai!$B$31</c:f>
              <c:strCache>
                <c:ptCount val="1"/>
                <c:pt idx="0">
                  <c:v>Hematoktit</c:v>
                </c:pt>
              </c:strCache>
            </c:strRef>
          </c:tx>
          <c:invertIfNegative val="0"/>
          <c:errBars>
            <c:errBarType val="both"/>
            <c:errValType val="cust"/>
            <c:noEndCap val="0"/>
            <c:plus>
              <c:numRef>
                <c:f>dipakai!$D$32:$D$36</c:f>
                <c:numCache>
                  <c:formatCode>General</c:formatCode>
                  <c:ptCount val="5"/>
                  <c:pt idx="0">
                    <c:v>5.4047253771352901</c:v>
                  </c:pt>
                  <c:pt idx="1">
                    <c:v>6.6917099123817678</c:v>
                  </c:pt>
                  <c:pt idx="2">
                    <c:v>9.9873366840809084</c:v>
                  </c:pt>
                  <c:pt idx="3">
                    <c:v>13.271695824322904</c:v>
                  </c:pt>
                  <c:pt idx="4">
                    <c:v>12.730353304798651</c:v>
                  </c:pt>
                </c:numCache>
              </c:numRef>
            </c:plus>
            <c:minus>
              <c:numRef>
                <c:f>dipakai!$D$32:$D$36</c:f>
                <c:numCache>
                  <c:formatCode>General</c:formatCode>
                  <c:ptCount val="5"/>
                  <c:pt idx="0">
                    <c:v>5.4047253771352901</c:v>
                  </c:pt>
                  <c:pt idx="1">
                    <c:v>6.6917099123817678</c:v>
                  </c:pt>
                  <c:pt idx="2">
                    <c:v>9.9873366840809084</c:v>
                  </c:pt>
                  <c:pt idx="3">
                    <c:v>13.271695824322904</c:v>
                  </c:pt>
                  <c:pt idx="4">
                    <c:v>12.730353304798651</c:v>
                  </c:pt>
                </c:numCache>
              </c:numRef>
            </c:minus>
          </c:errBars>
          <c:cat>
            <c:numRef>
              <c:f>dipakai!$A$32:$A$36</c:f>
              <c:numCache>
                <c:formatCode>0%</c:formatCode>
                <c:ptCount val="5"/>
                <c:pt idx="0">
                  <c:v>0</c:v>
                </c:pt>
                <c:pt idx="1">
                  <c:v>0.01</c:v>
                </c:pt>
                <c:pt idx="2">
                  <c:v>0.02</c:v>
                </c:pt>
                <c:pt idx="3">
                  <c:v>0.04</c:v>
                </c:pt>
                <c:pt idx="4">
                  <c:v>0.08</c:v>
                </c:pt>
              </c:numCache>
            </c:numRef>
          </c:cat>
          <c:val>
            <c:numRef>
              <c:f>dipakai!$B$32:$B$36</c:f>
              <c:numCache>
                <c:formatCode>General</c:formatCode>
                <c:ptCount val="5"/>
                <c:pt idx="0">
                  <c:v>39.689133768081142</c:v>
                </c:pt>
                <c:pt idx="1">
                  <c:v>55.661375661375658</c:v>
                </c:pt>
                <c:pt idx="2">
                  <c:v>44.894894894894897</c:v>
                </c:pt>
                <c:pt idx="3">
                  <c:v>39.42948791385038</c:v>
                </c:pt>
                <c:pt idx="4">
                  <c:v>58.067870826491522</c:v>
                </c:pt>
              </c:numCache>
            </c:numRef>
          </c:val>
          <c:extLst>
            <c:ext xmlns:c16="http://schemas.microsoft.com/office/drawing/2014/chart" uri="{C3380CC4-5D6E-409C-BE32-E72D297353CC}">
              <c16:uniqueId val="{00000000-C9F3-4AF3-85CB-C83FA76B2FF8}"/>
            </c:ext>
          </c:extLst>
        </c:ser>
        <c:dLbls>
          <c:showLegendKey val="0"/>
          <c:showVal val="0"/>
          <c:showCatName val="0"/>
          <c:showSerName val="0"/>
          <c:showPercent val="0"/>
          <c:showBubbleSize val="0"/>
        </c:dLbls>
        <c:gapWidth val="150"/>
        <c:axId val="173299200"/>
        <c:axId val="173301120"/>
      </c:barChart>
      <c:catAx>
        <c:axId val="173299200"/>
        <c:scaling>
          <c:orientation val="minMax"/>
        </c:scaling>
        <c:delete val="0"/>
        <c:axPos val="b"/>
        <c:title>
          <c:tx>
            <c:rich>
              <a:bodyPr/>
              <a:lstStyle/>
              <a:p>
                <a:pPr>
                  <a:defRPr/>
                </a:pPr>
                <a:r>
                  <a:rPr lang="en-US"/>
                  <a:t>Perlakuan</a:t>
                </a:r>
              </a:p>
            </c:rich>
          </c:tx>
          <c:overlay val="0"/>
        </c:title>
        <c:numFmt formatCode="0%" sourceLinked="1"/>
        <c:majorTickMark val="out"/>
        <c:minorTickMark val="none"/>
        <c:tickLblPos val="nextTo"/>
        <c:crossAx val="173301120"/>
        <c:crosses val="autoZero"/>
        <c:auto val="1"/>
        <c:lblAlgn val="ctr"/>
        <c:lblOffset val="100"/>
        <c:noMultiLvlLbl val="0"/>
      </c:catAx>
      <c:valAx>
        <c:axId val="173301120"/>
        <c:scaling>
          <c:orientation val="minMax"/>
        </c:scaling>
        <c:delete val="0"/>
        <c:axPos val="l"/>
        <c:title>
          <c:tx>
            <c:rich>
              <a:bodyPr rot="-5400000" vert="horz"/>
              <a:lstStyle/>
              <a:p>
                <a:pPr>
                  <a:defRPr/>
                </a:pPr>
                <a:r>
                  <a:rPr lang="en-US"/>
                  <a:t>Hematokrit (%)</a:t>
                </a:r>
              </a:p>
            </c:rich>
          </c:tx>
          <c:overlay val="0"/>
        </c:title>
        <c:numFmt formatCode="General" sourceLinked="1"/>
        <c:majorTickMark val="out"/>
        <c:minorTickMark val="none"/>
        <c:tickLblPos val="nextTo"/>
        <c:crossAx val="173299200"/>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rbc!$B$32</c:f>
              <c:strCache>
                <c:ptCount val="1"/>
                <c:pt idx="0">
                  <c:v>Eritrosit</c:v>
                </c:pt>
              </c:strCache>
            </c:strRef>
          </c:tx>
          <c:invertIfNegative val="0"/>
          <c:errBars>
            <c:errBarType val="both"/>
            <c:errValType val="cust"/>
            <c:noEndCap val="0"/>
            <c:plus>
              <c:numRef>
                <c:f>rbc!$D$33:$D$37</c:f>
                <c:numCache>
                  <c:formatCode>General</c:formatCode>
                  <c:ptCount val="5"/>
                  <c:pt idx="0">
                    <c:v>0.11581234821900459</c:v>
                  </c:pt>
                  <c:pt idx="1">
                    <c:v>0.27016488021206642</c:v>
                  </c:pt>
                  <c:pt idx="2">
                    <c:v>0.75653369334529119</c:v>
                  </c:pt>
                  <c:pt idx="3">
                    <c:v>0.23425413550244928</c:v>
                  </c:pt>
                  <c:pt idx="4">
                    <c:v>0.37182755299556086</c:v>
                  </c:pt>
                </c:numCache>
              </c:numRef>
            </c:plus>
            <c:minus>
              <c:numRef>
                <c:f>rbc!$D$33:$D$37</c:f>
                <c:numCache>
                  <c:formatCode>General</c:formatCode>
                  <c:ptCount val="5"/>
                  <c:pt idx="0">
                    <c:v>0.11581234821900459</c:v>
                  </c:pt>
                  <c:pt idx="1">
                    <c:v>0.27016488021206642</c:v>
                  </c:pt>
                  <c:pt idx="2">
                    <c:v>0.75653369334529119</c:v>
                  </c:pt>
                  <c:pt idx="3">
                    <c:v>0.23425413550244928</c:v>
                  </c:pt>
                  <c:pt idx="4">
                    <c:v>0.37182755299556086</c:v>
                  </c:pt>
                </c:numCache>
              </c:numRef>
            </c:minus>
          </c:errBars>
          <c:cat>
            <c:numRef>
              <c:f>rbc!$A$33:$A$37</c:f>
              <c:numCache>
                <c:formatCode>0%</c:formatCode>
                <c:ptCount val="5"/>
                <c:pt idx="0">
                  <c:v>0</c:v>
                </c:pt>
                <c:pt idx="1">
                  <c:v>0.01</c:v>
                </c:pt>
                <c:pt idx="2">
                  <c:v>0.02</c:v>
                </c:pt>
                <c:pt idx="3">
                  <c:v>0.04</c:v>
                </c:pt>
                <c:pt idx="4">
                  <c:v>0.08</c:v>
                </c:pt>
              </c:numCache>
            </c:numRef>
          </c:cat>
          <c:val>
            <c:numRef>
              <c:f>rbc!$B$33:$B$37</c:f>
              <c:numCache>
                <c:formatCode>General</c:formatCode>
                <c:ptCount val="5"/>
                <c:pt idx="0">
                  <c:v>1.595</c:v>
                </c:pt>
                <c:pt idx="1">
                  <c:v>3.1112500000000001</c:v>
                </c:pt>
                <c:pt idx="2">
                  <c:v>2.5412499999999998</c:v>
                </c:pt>
                <c:pt idx="3">
                  <c:v>1.97</c:v>
                </c:pt>
                <c:pt idx="4">
                  <c:v>2.1287500000000001</c:v>
                </c:pt>
              </c:numCache>
            </c:numRef>
          </c:val>
          <c:extLst>
            <c:ext xmlns:c16="http://schemas.microsoft.com/office/drawing/2014/chart" uri="{C3380CC4-5D6E-409C-BE32-E72D297353CC}">
              <c16:uniqueId val="{00000000-C636-4FBB-954D-7AB43047180E}"/>
            </c:ext>
          </c:extLst>
        </c:ser>
        <c:dLbls>
          <c:showLegendKey val="0"/>
          <c:showVal val="0"/>
          <c:showCatName val="0"/>
          <c:showSerName val="0"/>
          <c:showPercent val="0"/>
          <c:showBubbleSize val="0"/>
        </c:dLbls>
        <c:gapWidth val="150"/>
        <c:axId val="78959360"/>
        <c:axId val="78961280"/>
      </c:barChart>
      <c:catAx>
        <c:axId val="78959360"/>
        <c:scaling>
          <c:orientation val="minMax"/>
        </c:scaling>
        <c:delete val="0"/>
        <c:axPos val="b"/>
        <c:title>
          <c:tx>
            <c:rich>
              <a:bodyPr/>
              <a:lstStyle/>
              <a:p>
                <a:pPr>
                  <a:defRPr/>
                </a:pPr>
                <a:r>
                  <a:rPr lang="en-US"/>
                  <a:t>Perlakuan</a:t>
                </a:r>
              </a:p>
            </c:rich>
          </c:tx>
          <c:overlay val="0"/>
        </c:title>
        <c:numFmt formatCode="0%" sourceLinked="1"/>
        <c:majorTickMark val="out"/>
        <c:minorTickMark val="none"/>
        <c:tickLblPos val="nextTo"/>
        <c:crossAx val="78961280"/>
        <c:crosses val="autoZero"/>
        <c:auto val="1"/>
        <c:lblAlgn val="ctr"/>
        <c:lblOffset val="100"/>
        <c:noMultiLvlLbl val="0"/>
      </c:catAx>
      <c:valAx>
        <c:axId val="78961280"/>
        <c:scaling>
          <c:orientation val="minMax"/>
        </c:scaling>
        <c:delete val="0"/>
        <c:axPos val="l"/>
        <c:title>
          <c:tx>
            <c:rich>
              <a:bodyPr rot="-5400000" vert="horz"/>
              <a:lstStyle/>
              <a:p>
                <a:pPr>
                  <a:defRPr/>
                </a:pPr>
                <a:r>
                  <a:rPr lang="en-US"/>
                  <a:t>Eritrosit (10</a:t>
                </a:r>
                <a:r>
                  <a:rPr lang="en-US" baseline="30000"/>
                  <a:t>6</a:t>
                </a:r>
                <a:r>
                  <a:rPr lang="en-US"/>
                  <a:t>.mm</a:t>
                </a:r>
                <a:r>
                  <a:rPr lang="en-US" baseline="30000"/>
                  <a:t>-1</a:t>
                </a:r>
                <a:r>
                  <a:rPr lang="en-US"/>
                  <a:t>)</a:t>
                </a:r>
              </a:p>
            </c:rich>
          </c:tx>
          <c:overlay val="0"/>
        </c:title>
        <c:numFmt formatCode="General" sourceLinked="1"/>
        <c:majorTickMark val="out"/>
        <c:minorTickMark val="none"/>
        <c:tickLblPos val="nextTo"/>
        <c:crossAx val="78959360"/>
        <c:crosses val="autoZero"/>
        <c:crossBetween val="between"/>
      </c:valAx>
    </c:plotArea>
    <c:plotVisOnly val="1"/>
    <c:dispBlanksAs val="gap"/>
    <c:showDLblsOverMax val="0"/>
  </c:chart>
  <c:spPr>
    <a:ln>
      <a:noFill/>
    </a:ln>
  </c:spPr>
  <c:txPr>
    <a:bodyPr/>
    <a:lstStyle/>
    <a:p>
      <a:pPr>
        <a:defRPr sz="1200" b="0">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wbc!$B$104</c:f>
              <c:strCache>
                <c:ptCount val="1"/>
                <c:pt idx="0">
                  <c:v>wbc</c:v>
                </c:pt>
              </c:strCache>
            </c:strRef>
          </c:tx>
          <c:invertIfNegative val="0"/>
          <c:dPt>
            <c:idx val="0"/>
            <c:invertIfNegative val="0"/>
            <c:bubble3D val="0"/>
            <c:spPr/>
            <c:extLst>
              <c:ext xmlns:c16="http://schemas.microsoft.com/office/drawing/2014/chart" uri="{C3380CC4-5D6E-409C-BE32-E72D297353CC}">
                <c16:uniqueId val="{00000001-2213-4334-8D79-B4BFC1D560E4}"/>
              </c:ext>
            </c:extLst>
          </c:dPt>
          <c:errBars>
            <c:errBarType val="both"/>
            <c:errValType val="cust"/>
            <c:noEndCap val="0"/>
            <c:plus>
              <c:numRef>
                <c:f>wbc!$D$105:$D$109</c:f>
                <c:numCache>
                  <c:formatCode>General</c:formatCode>
                  <c:ptCount val="5"/>
                  <c:pt idx="0">
                    <c:v>2.5594291455362459</c:v>
                  </c:pt>
                  <c:pt idx="1">
                    <c:v>0.93181587039850911</c:v>
                  </c:pt>
                  <c:pt idx="2">
                    <c:v>1.342861398169535</c:v>
                  </c:pt>
                  <c:pt idx="3">
                    <c:v>1.1646858208222803</c:v>
                  </c:pt>
                  <c:pt idx="4">
                    <c:v>1.4279838791749984</c:v>
                  </c:pt>
                </c:numCache>
              </c:numRef>
            </c:plus>
            <c:minus>
              <c:numRef>
                <c:f>wbc!$D$105:$D$109</c:f>
                <c:numCache>
                  <c:formatCode>General</c:formatCode>
                  <c:ptCount val="5"/>
                  <c:pt idx="0">
                    <c:v>2.5594291455362459</c:v>
                  </c:pt>
                  <c:pt idx="1">
                    <c:v>0.93181587039850911</c:v>
                  </c:pt>
                  <c:pt idx="2">
                    <c:v>1.342861398169535</c:v>
                  </c:pt>
                  <c:pt idx="3">
                    <c:v>1.1646858208222803</c:v>
                  </c:pt>
                  <c:pt idx="4">
                    <c:v>1.4279838791749984</c:v>
                  </c:pt>
                </c:numCache>
              </c:numRef>
            </c:minus>
          </c:errBars>
          <c:cat>
            <c:numRef>
              <c:f>wbc!$A$105:$A$109</c:f>
              <c:numCache>
                <c:formatCode>0%</c:formatCode>
                <c:ptCount val="5"/>
                <c:pt idx="0">
                  <c:v>0</c:v>
                </c:pt>
                <c:pt idx="1">
                  <c:v>0.01</c:v>
                </c:pt>
                <c:pt idx="2">
                  <c:v>0.02</c:v>
                </c:pt>
                <c:pt idx="3">
                  <c:v>0.04</c:v>
                </c:pt>
                <c:pt idx="4">
                  <c:v>0.08</c:v>
                </c:pt>
              </c:numCache>
            </c:numRef>
          </c:cat>
          <c:val>
            <c:numRef>
              <c:f>wbc!$B$105:$B$109</c:f>
              <c:numCache>
                <c:formatCode>0.00</c:formatCode>
                <c:ptCount val="5"/>
                <c:pt idx="0">
                  <c:v>10.268571428571429</c:v>
                </c:pt>
                <c:pt idx="1">
                  <c:v>13.555714285714286</c:v>
                </c:pt>
                <c:pt idx="2">
                  <c:v>12.847142857142858</c:v>
                </c:pt>
                <c:pt idx="3">
                  <c:v>13.204285714285716</c:v>
                </c:pt>
                <c:pt idx="4">
                  <c:v>14.151428571428571</c:v>
                </c:pt>
              </c:numCache>
            </c:numRef>
          </c:val>
          <c:extLst>
            <c:ext xmlns:c16="http://schemas.microsoft.com/office/drawing/2014/chart" uri="{C3380CC4-5D6E-409C-BE32-E72D297353CC}">
              <c16:uniqueId val="{00000002-2213-4334-8D79-B4BFC1D560E4}"/>
            </c:ext>
          </c:extLst>
        </c:ser>
        <c:dLbls>
          <c:showLegendKey val="0"/>
          <c:showVal val="0"/>
          <c:showCatName val="0"/>
          <c:showSerName val="0"/>
          <c:showPercent val="0"/>
          <c:showBubbleSize val="0"/>
        </c:dLbls>
        <c:gapWidth val="150"/>
        <c:axId val="173337216"/>
        <c:axId val="173339392"/>
      </c:barChart>
      <c:catAx>
        <c:axId val="173337216"/>
        <c:scaling>
          <c:orientation val="minMax"/>
        </c:scaling>
        <c:delete val="0"/>
        <c:axPos val="b"/>
        <c:title>
          <c:tx>
            <c:rich>
              <a:bodyPr/>
              <a:lstStyle/>
              <a:p>
                <a:pPr>
                  <a:defRPr/>
                </a:pPr>
                <a:r>
                  <a:rPr lang="en-US"/>
                  <a:t>Perlakuan</a:t>
                </a:r>
              </a:p>
            </c:rich>
          </c:tx>
          <c:overlay val="0"/>
        </c:title>
        <c:numFmt formatCode="0%" sourceLinked="1"/>
        <c:majorTickMark val="out"/>
        <c:minorTickMark val="none"/>
        <c:tickLblPos val="nextTo"/>
        <c:crossAx val="173339392"/>
        <c:crosses val="autoZero"/>
        <c:auto val="1"/>
        <c:lblAlgn val="ctr"/>
        <c:lblOffset val="100"/>
        <c:noMultiLvlLbl val="0"/>
      </c:catAx>
      <c:valAx>
        <c:axId val="173339392"/>
        <c:scaling>
          <c:orientation val="minMax"/>
        </c:scaling>
        <c:delete val="0"/>
        <c:axPos val="l"/>
        <c:title>
          <c:tx>
            <c:rich>
              <a:bodyPr rot="-5400000" vert="horz"/>
              <a:lstStyle/>
              <a:p>
                <a:pPr>
                  <a:defRPr/>
                </a:pPr>
                <a:r>
                  <a:rPr lang="en-US"/>
                  <a:t>Leu</a:t>
                </a:r>
                <a:r>
                  <a:rPr lang="id-ID"/>
                  <a:t>k</a:t>
                </a:r>
                <a:r>
                  <a:rPr lang="en-US"/>
                  <a:t>osit (10</a:t>
                </a:r>
                <a:r>
                  <a:rPr lang="en-US" baseline="30000"/>
                  <a:t>5</a:t>
                </a:r>
                <a:r>
                  <a:rPr lang="id-ID"/>
                  <a:t> .mm-</a:t>
                </a:r>
                <a:r>
                  <a:rPr lang="id-ID" baseline="30000"/>
                  <a:t>1</a:t>
                </a:r>
                <a:r>
                  <a:rPr lang="en-US" baseline="30000"/>
                  <a:t>)</a:t>
                </a:r>
              </a:p>
            </c:rich>
          </c:tx>
          <c:overlay val="0"/>
        </c:title>
        <c:numFmt formatCode="0" sourceLinked="0"/>
        <c:majorTickMark val="out"/>
        <c:minorTickMark val="none"/>
        <c:tickLblPos val="nextTo"/>
        <c:crossAx val="173337216"/>
        <c:crosses val="autoZero"/>
        <c:crossBetween val="between"/>
      </c:valAx>
    </c:plotArea>
    <c:plotVisOnly val="1"/>
    <c:dispBlanksAs val="gap"/>
    <c:showDLblsOverMax val="0"/>
  </c:chart>
  <c:spPr>
    <a:ln>
      <a:noFill/>
    </a:ln>
  </c:spPr>
  <c:txPr>
    <a:bodyPr/>
    <a:lstStyle/>
    <a:p>
      <a:pPr>
        <a:defRPr sz="12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nbt!$B$60</c:f>
              <c:strCache>
                <c:ptCount val="1"/>
                <c:pt idx="0">
                  <c:v>NBT</c:v>
                </c:pt>
              </c:strCache>
            </c:strRef>
          </c:tx>
          <c:invertIfNegative val="0"/>
          <c:errBars>
            <c:errBarType val="both"/>
            <c:errValType val="cust"/>
            <c:noEndCap val="0"/>
            <c:plus>
              <c:numRef>
                <c:f>nbt!$D$61:$D$65</c:f>
                <c:numCache>
                  <c:formatCode>General</c:formatCode>
                  <c:ptCount val="5"/>
                  <c:pt idx="0">
                    <c:v>1.5398240489912649E-2</c:v>
                  </c:pt>
                  <c:pt idx="1">
                    <c:v>3.9060743293832308E-2</c:v>
                  </c:pt>
                  <c:pt idx="2">
                    <c:v>3.7320279215739198E-3</c:v>
                  </c:pt>
                  <c:pt idx="3">
                    <c:v>2.6901903416067238E-2</c:v>
                  </c:pt>
                  <c:pt idx="4">
                    <c:v>2.4367241880275496E-2</c:v>
                  </c:pt>
                </c:numCache>
              </c:numRef>
            </c:plus>
            <c:minus>
              <c:numRef>
                <c:f>nbt!$D$61:$D$65</c:f>
                <c:numCache>
                  <c:formatCode>General</c:formatCode>
                  <c:ptCount val="5"/>
                  <c:pt idx="0">
                    <c:v>1.5398240489912649E-2</c:v>
                  </c:pt>
                  <c:pt idx="1">
                    <c:v>3.9060743293832308E-2</c:v>
                  </c:pt>
                  <c:pt idx="2">
                    <c:v>3.7320279215739198E-3</c:v>
                  </c:pt>
                  <c:pt idx="3">
                    <c:v>2.6901903416067238E-2</c:v>
                  </c:pt>
                  <c:pt idx="4">
                    <c:v>2.4367241880275496E-2</c:v>
                  </c:pt>
                </c:numCache>
              </c:numRef>
            </c:minus>
          </c:errBars>
          <c:cat>
            <c:numRef>
              <c:f>nbt!$A$61:$A$65</c:f>
              <c:numCache>
                <c:formatCode>0%</c:formatCode>
                <c:ptCount val="5"/>
                <c:pt idx="0">
                  <c:v>0</c:v>
                </c:pt>
                <c:pt idx="1">
                  <c:v>0.01</c:v>
                </c:pt>
                <c:pt idx="2">
                  <c:v>0.02</c:v>
                </c:pt>
                <c:pt idx="3">
                  <c:v>0.04</c:v>
                </c:pt>
                <c:pt idx="4">
                  <c:v>0.05</c:v>
                </c:pt>
              </c:numCache>
            </c:numRef>
          </c:cat>
          <c:val>
            <c:numRef>
              <c:f>nbt!$B$61:$B$65</c:f>
              <c:numCache>
                <c:formatCode>General</c:formatCode>
                <c:ptCount val="5"/>
                <c:pt idx="0">
                  <c:v>0.15504166666666666</c:v>
                </c:pt>
                <c:pt idx="1">
                  <c:v>0.18743333333333334</c:v>
                </c:pt>
                <c:pt idx="2">
                  <c:v>0.187025</c:v>
                </c:pt>
                <c:pt idx="3">
                  <c:v>0.23576666666666665</c:v>
                </c:pt>
                <c:pt idx="4">
                  <c:v>0.20145833333333332</c:v>
                </c:pt>
              </c:numCache>
            </c:numRef>
          </c:val>
          <c:extLst>
            <c:ext xmlns:c16="http://schemas.microsoft.com/office/drawing/2014/chart" uri="{C3380CC4-5D6E-409C-BE32-E72D297353CC}">
              <c16:uniqueId val="{00000000-70E6-405E-ACC4-09249BB97298}"/>
            </c:ext>
          </c:extLst>
        </c:ser>
        <c:dLbls>
          <c:showLegendKey val="0"/>
          <c:showVal val="0"/>
          <c:showCatName val="0"/>
          <c:showSerName val="0"/>
          <c:showPercent val="0"/>
          <c:showBubbleSize val="0"/>
        </c:dLbls>
        <c:gapWidth val="150"/>
        <c:axId val="173753472"/>
        <c:axId val="173755392"/>
      </c:barChart>
      <c:catAx>
        <c:axId val="173753472"/>
        <c:scaling>
          <c:orientation val="minMax"/>
        </c:scaling>
        <c:delete val="0"/>
        <c:axPos val="b"/>
        <c:title>
          <c:tx>
            <c:rich>
              <a:bodyPr/>
              <a:lstStyle/>
              <a:p>
                <a:pPr>
                  <a:defRPr/>
                </a:pPr>
                <a:r>
                  <a:rPr lang="en-US"/>
                  <a:t>Perlakuan</a:t>
                </a:r>
              </a:p>
            </c:rich>
          </c:tx>
          <c:overlay val="0"/>
        </c:title>
        <c:numFmt formatCode="0%" sourceLinked="1"/>
        <c:majorTickMark val="out"/>
        <c:minorTickMark val="none"/>
        <c:tickLblPos val="nextTo"/>
        <c:crossAx val="173755392"/>
        <c:crosses val="autoZero"/>
        <c:auto val="1"/>
        <c:lblAlgn val="ctr"/>
        <c:lblOffset val="100"/>
        <c:noMultiLvlLbl val="0"/>
      </c:catAx>
      <c:valAx>
        <c:axId val="173755392"/>
        <c:scaling>
          <c:orientation val="minMax"/>
        </c:scaling>
        <c:delete val="0"/>
        <c:axPos val="l"/>
        <c:title>
          <c:tx>
            <c:rich>
              <a:bodyPr rot="-5400000" vert="horz"/>
              <a:lstStyle/>
              <a:p>
                <a:pPr>
                  <a:defRPr/>
                </a:pPr>
                <a:r>
                  <a:rPr lang="en-US"/>
                  <a:t>Nitroblue Tetrazolium (OD 540 nm)</a:t>
                </a:r>
              </a:p>
            </c:rich>
          </c:tx>
          <c:overlay val="0"/>
        </c:title>
        <c:numFmt formatCode="General" sourceLinked="1"/>
        <c:majorTickMark val="out"/>
        <c:minorTickMark val="none"/>
        <c:tickLblPos val="nextTo"/>
        <c:crossAx val="173753472"/>
        <c:crosses val="autoZero"/>
        <c:crossBetween val="between"/>
      </c:valAx>
    </c:plotArea>
    <c:plotVisOnly val="1"/>
    <c:dispBlanksAs val="gap"/>
    <c:showDLblsOverMax val="0"/>
  </c:chart>
  <c:spPr>
    <a:noFill/>
    <a:ln>
      <a:noFill/>
    </a:ln>
  </c:spPr>
  <c:txPr>
    <a:bodyPr/>
    <a:lstStyle/>
    <a:p>
      <a:pPr>
        <a:defRPr sz="1200" b="0">
          <a:latin typeface="Times New Roman" pitchFamily="18" charset="0"/>
          <a:cs typeface="Times New Roman"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lisosim!$B$108</c:f>
              <c:strCache>
                <c:ptCount val="1"/>
                <c:pt idx="0">
                  <c:v>Lisosim</c:v>
                </c:pt>
              </c:strCache>
            </c:strRef>
          </c:tx>
          <c:invertIfNegative val="0"/>
          <c:errBars>
            <c:errBarType val="both"/>
            <c:errValType val="cust"/>
            <c:noEndCap val="0"/>
            <c:plus>
              <c:numRef>
                <c:f>lisosim!$D$109:$D$113</c:f>
                <c:numCache>
                  <c:formatCode>General</c:formatCode>
                  <c:ptCount val="5"/>
                  <c:pt idx="0">
                    <c:v>25.499999999999929</c:v>
                  </c:pt>
                  <c:pt idx="1">
                    <c:v>28.620117244887631</c:v>
                  </c:pt>
                  <c:pt idx="2">
                    <c:v>368.00000000000006</c:v>
                  </c:pt>
                  <c:pt idx="3">
                    <c:v>33.999999999999623</c:v>
                  </c:pt>
                  <c:pt idx="4">
                    <c:v>0.50000000000049738</c:v>
                  </c:pt>
                </c:numCache>
              </c:numRef>
            </c:plus>
            <c:minus>
              <c:numRef>
                <c:f>lisosim!$D$109:$D$113</c:f>
                <c:numCache>
                  <c:formatCode>General</c:formatCode>
                  <c:ptCount val="5"/>
                  <c:pt idx="0">
                    <c:v>25.499999999999929</c:v>
                  </c:pt>
                  <c:pt idx="1">
                    <c:v>28.620117244887631</c:v>
                  </c:pt>
                  <c:pt idx="2">
                    <c:v>368.00000000000006</c:v>
                  </c:pt>
                  <c:pt idx="3">
                    <c:v>33.999999999999623</c:v>
                  </c:pt>
                  <c:pt idx="4">
                    <c:v>0.50000000000049738</c:v>
                  </c:pt>
                </c:numCache>
              </c:numRef>
            </c:minus>
          </c:errBars>
          <c:cat>
            <c:numRef>
              <c:f>lisosim!$A$109:$A$113</c:f>
              <c:numCache>
                <c:formatCode>0%</c:formatCode>
                <c:ptCount val="5"/>
                <c:pt idx="0">
                  <c:v>0</c:v>
                </c:pt>
                <c:pt idx="1">
                  <c:v>0.01</c:v>
                </c:pt>
                <c:pt idx="2">
                  <c:v>0.02</c:v>
                </c:pt>
                <c:pt idx="3">
                  <c:v>0.04</c:v>
                </c:pt>
                <c:pt idx="4">
                  <c:v>0.08</c:v>
                </c:pt>
              </c:numCache>
            </c:numRef>
          </c:cat>
          <c:val>
            <c:numRef>
              <c:f>lisosim!$B$109:$B$113</c:f>
              <c:numCache>
                <c:formatCode>General</c:formatCode>
                <c:ptCount val="5"/>
                <c:pt idx="0">
                  <c:v>71.500000000000455</c:v>
                </c:pt>
                <c:pt idx="1">
                  <c:v>287.3333333333332</c:v>
                </c:pt>
                <c:pt idx="2">
                  <c:v>483.99999999999943</c:v>
                </c:pt>
                <c:pt idx="3">
                  <c:v>141.99999999999989</c:v>
                </c:pt>
                <c:pt idx="4">
                  <c:v>108.4999999999997</c:v>
                </c:pt>
              </c:numCache>
            </c:numRef>
          </c:val>
          <c:extLst>
            <c:ext xmlns:c16="http://schemas.microsoft.com/office/drawing/2014/chart" uri="{C3380CC4-5D6E-409C-BE32-E72D297353CC}">
              <c16:uniqueId val="{00000000-5C5C-4F52-B318-06DC2AD6A6AF}"/>
            </c:ext>
          </c:extLst>
        </c:ser>
        <c:dLbls>
          <c:showLegendKey val="0"/>
          <c:showVal val="0"/>
          <c:showCatName val="0"/>
          <c:showSerName val="0"/>
          <c:showPercent val="0"/>
          <c:showBubbleSize val="0"/>
        </c:dLbls>
        <c:gapWidth val="150"/>
        <c:axId val="173768064"/>
        <c:axId val="173786624"/>
      </c:barChart>
      <c:catAx>
        <c:axId val="173768064"/>
        <c:scaling>
          <c:orientation val="minMax"/>
        </c:scaling>
        <c:delete val="0"/>
        <c:axPos val="b"/>
        <c:title>
          <c:tx>
            <c:rich>
              <a:bodyPr/>
              <a:lstStyle/>
              <a:p>
                <a:pPr>
                  <a:defRPr/>
                </a:pPr>
                <a:r>
                  <a:rPr lang="en-US"/>
                  <a:t>Perlakuan</a:t>
                </a:r>
              </a:p>
            </c:rich>
          </c:tx>
          <c:overlay val="0"/>
        </c:title>
        <c:numFmt formatCode="0%" sourceLinked="1"/>
        <c:majorTickMark val="out"/>
        <c:minorTickMark val="none"/>
        <c:tickLblPos val="nextTo"/>
        <c:crossAx val="173786624"/>
        <c:crosses val="autoZero"/>
        <c:auto val="1"/>
        <c:lblAlgn val="ctr"/>
        <c:lblOffset val="100"/>
        <c:noMultiLvlLbl val="0"/>
      </c:catAx>
      <c:valAx>
        <c:axId val="173786624"/>
        <c:scaling>
          <c:orientation val="minMax"/>
        </c:scaling>
        <c:delete val="0"/>
        <c:axPos val="l"/>
        <c:title>
          <c:tx>
            <c:rich>
              <a:bodyPr rot="-5400000" vert="horz"/>
              <a:lstStyle/>
              <a:p>
                <a:pPr>
                  <a:defRPr/>
                </a:pPr>
                <a:r>
                  <a:rPr lang="en-US"/>
                  <a:t>Aktifitas lisosim (IU/min/mL)</a:t>
                </a:r>
              </a:p>
            </c:rich>
          </c:tx>
          <c:overlay val="0"/>
        </c:title>
        <c:numFmt formatCode="General" sourceLinked="1"/>
        <c:majorTickMark val="out"/>
        <c:minorTickMark val="none"/>
        <c:tickLblPos val="nextTo"/>
        <c:crossAx val="173768064"/>
        <c:crosses val="autoZero"/>
        <c:crossBetween val="between"/>
      </c:valAx>
    </c:plotArea>
    <c:plotVisOnly val="1"/>
    <c:dispBlanksAs val="gap"/>
    <c:showDLblsOverMax val="0"/>
  </c:chart>
  <c:spPr>
    <a:noFill/>
    <a:ln>
      <a:noFill/>
    </a:ln>
  </c:spPr>
  <c:txPr>
    <a:bodyPr/>
    <a:lstStyle/>
    <a:p>
      <a:pPr>
        <a:defRPr sz="1200" b="0">
          <a:latin typeface="Times New Roman" pitchFamily="18" charset="0"/>
          <a:cs typeface="Times New Roman"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tx>
            <c:v>L0</c:v>
          </c:tx>
          <c:invertIfNegative val="0"/>
          <c:errBars>
            <c:errBarType val="both"/>
            <c:errValType val="cust"/>
            <c:noEndCap val="0"/>
            <c:plus>
              <c:numRef>
                <c:f>panjang!$D$58:$D$62</c:f>
                <c:numCache>
                  <c:formatCode>General</c:formatCode>
                  <c:ptCount val="5"/>
                  <c:pt idx="0">
                    <c:v>0.16733200530681522</c:v>
                  </c:pt>
                  <c:pt idx="1">
                    <c:v>0.70273276096488035</c:v>
                  </c:pt>
                  <c:pt idx="2">
                    <c:v>0.87891979156234634</c:v>
                  </c:pt>
                  <c:pt idx="3">
                    <c:v>0.22211108331943571</c:v>
                  </c:pt>
                  <c:pt idx="4">
                    <c:v>1.6517667309076467</c:v>
                  </c:pt>
                </c:numCache>
              </c:numRef>
            </c:plus>
            <c:minus>
              <c:numRef>
                <c:f>panjang!$D$58:$D$62</c:f>
                <c:numCache>
                  <c:formatCode>General</c:formatCode>
                  <c:ptCount val="5"/>
                  <c:pt idx="0">
                    <c:v>0.16733200530681522</c:v>
                  </c:pt>
                  <c:pt idx="1">
                    <c:v>0.70273276096488035</c:v>
                  </c:pt>
                  <c:pt idx="2">
                    <c:v>0.87891979156234634</c:v>
                  </c:pt>
                  <c:pt idx="3">
                    <c:v>0.22211108331943571</c:v>
                  </c:pt>
                  <c:pt idx="4">
                    <c:v>1.6517667309076467</c:v>
                  </c:pt>
                </c:numCache>
              </c:numRef>
            </c:minus>
          </c:errBars>
          <c:cat>
            <c:numRef>
              <c:f>panjang!$A$58:$A$62</c:f>
              <c:numCache>
                <c:formatCode>0%</c:formatCode>
                <c:ptCount val="5"/>
                <c:pt idx="0">
                  <c:v>0</c:v>
                </c:pt>
                <c:pt idx="1">
                  <c:v>0.01</c:v>
                </c:pt>
                <c:pt idx="2">
                  <c:v>0.02</c:v>
                </c:pt>
                <c:pt idx="3">
                  <c:v>0.04</c:v>
                </c:pt>
                <c:pt idx="4">
                  <c:v>0.08</c:v>
                </c:pt>
              </c:numCache>
            </c:numRef>
          </c:cat>
          <c:val>
            <c:numRef>
              <c:f>panjang!$B$58:$B$62</c:f>
              <c:numCache>
                <c:formatCode>General</c:formatCode>
                <c:ptCount val="5"/>
                <c:pt idx="0">
                  <c:v>10.199999999999999</c:v>
                </c:pt>
                <c:pt idx="1">
                  <c:v>10.325000000000001</c:v>
                </c:pt>
                <c:pt idx="2">
                  <c:v>10.025</c:v>
                </c:pt>
                <c:pt idx="3">
                  <c:v>10.9</c:v>
                </c:pt>
                <c:pt idx="4">
                  <c:v>9.5</c:v>
                </c:pt>
              </c:numCache>
            </c:numRef>
          </c:val>
          <c:extLst>
            <c:ext xmlns:c16="http://schemas.microsoft.com/office/drawing/2014/chart" uri="{C3380CC4-5D6E-409C-BE32-E72D297353CC}">
              <c16:uniqueId val="{00000000-8649-4ED8-A624-15386CA6068D}"/>
            </c:ext>
          </c:extLst>
        </c:ser>
        <c:ser>
          <c:idx val="2"/>
          <c:order val="1"/>
          <c:tx>
            <c:v>Lt</c:v>
          </c:tx>
          <c:invertIfNegative val="0"/>
          <c:errBars>
            <c:errBarType val="both"/>
            <c:errValType val="cust"/>
            <c:noEndCap val="0"/>
            <c:plus>
              <c:numRef>
                <c:f>panjang!$E$58:$E$62</c:f>
                <c:numCache>
                  <c:formatCode>General</c:formatCode>
                  <c:ptCount val="5"/>
                  <c:pt idx="0">
                    <c:v>0.73155086403248049</c:v>
                  </c:pt>
                  <c:pt idx="1">
                    <c:v>0.27416540019970931</c:v>
                  </c:pt>
                  <c:pt idx="2">
                    <c:v>0.62396581102920645</c:v>
                  </c:pt>
                  <c:pt idx="3">
                    <c:v>0.54206395686610009</c:v>
                  </c:pt>
                  <c:pt idx="4">
                    <c:v>0.55883062430996644</c:v>
                  </c:pt>
                </c:numCache>
              </c:numRef>
            </c:plus>
            <c:minus>
              <c:numRef>
                <c:f>panjang!$E$58:$E$62</c:f>
                <c:numCache>
                  <c:formatCode>General</c:formatCode>
                  <c:ptCount val="5"/>
                  <c:pt idx="0">
                    <c:v>0.73155086403248049</c:v>
                  </c:pt>
                  <c:pt idx="1">
                    <c:v>0.27416540019970931</c:v>
                  </c:pt>
                  <c:pt idx="2">
                    <c:v>0.62396581102920645</c:v>
                  </c:pt>
                  <c:pt idx="3">
                    <c:v>0.54206395686610009</c:v>
                  </c:pt>
                  <c:pt idx="4">
                    <c:v>0.55883062430996644</c:v>
                  </c:pt>
                </c:numCache>
              </c:numRef>
            </c:minus>
          </c:errBars>
          <c:cat>
            <c:numRef>
              <c:f>panjang!$A$58:$A$62</c:f>
              <c:numCache>
                <c:formatCode>0%</c:formatCode>
                <c:ptCount val="5"/>
                <c:pt idx="0">
                  <c:v>0</c:v>
                </c:pt>
                <c:pt idx="1">
                  <c:v>0.01</c:v>
                </c:pt>
                <c:pt idx="2">
                  <c:v>0.02</c:v>
                </c:pt>
                <c:pt idx="3">
                  <c:v>0.04</c:v>
                </c:pt>
                <c:pt idx="4">
                  <c:v>0.08</c:v>
                </c:pt>
              </c:numCache>
            </c:numRef>
          </c:cat>
          <c:val>
            <c:numRef>
              <c:f>panjang!$C$58:$C$62</c:f>
              <c:numCache>
                <c:formatCode>General</c:formatCode>
                <c:ptCount val="5"/>
                <c:pt idx="0">
                  <c:v>12.025</c:v>
                </c:pt>
                <c:pt idx="1">
                  <c:v>12.674999999999999</c:v>
                </c:pt>
                <c:pt idx="2">
                  <c:v>11.799999999999999</c:v>
                </c:pt>
                <c:pt idx="3">
                  <c:v>12.275</c:v>
                </c:pt>
                <c:pt idx="4">
                  <c:v>12.925000000000001</c:v>
                </c:pt>
              </c:numCache>
            </c:numRef>
          </c:val>
          <c:extLst>
            <c:ext xmlns:c16="http://schemas.microsoft.com/office/drawing/2014/chart" uri="{C3380CC4-5D6E-409C-BE32-E72D297353CC}">
              <c16:uniqueId val="{00000001-8649-4ED8-A624-15386CA6068D}"/>
            </c:ext>
          </c:extLst>
        </c:ser>
        <c:dLbls>
          <c:showLegendKey val="0"/>
          <c:showVal val="0"/>
          <c:showCatName val="0"/>
          <c:showSerName val="0"/>
          <c:showPercent val="0"/>
          <c:showBubbleSize val="0"/>
        </c:dLbls>
        <c:gapWidth val="150"/>
        <c:axId val="173796352"/>
        <c:axId val="182195328"/>
      </c:barChart>
      <c:catAx>
        <c:axId val="173796352"/>
        <c:scaling>
          <c:orientation val="minMax"/>
        </c:scaling>
        <c:delete val="0"/>
        <c:axPos val="b"/>
        <c:title>
          <c:tx>
            <c:rich>
              <a:bodyPr/>
              <a:lstStyle/>
              <a:p>
                <a:pPr>
                  <a:defRPr/>
                </a:pPr>
                <a:r>
                  <a:rPr lang="en-US"/>
                  <a:t>Perlakuan</a:t>
                </a:r>
              </a:p>
            </c:rich>
          </c:tx>
          <c:overlay val="0"/>
        </c:title>
        <c:numFmt formatCode="0%" sourceLinked="1"/>
        <c:majorTickMark val="out"/>
        <c:minorTickMark val="none"/>
        <c:tickLblPos val="nextTo"/>
        <c:crossAx val="182195328"/>
        <c:crosses val="autoZero"/>
        <c:auto val="1"/>
        <c:lblAlgn val="ctr"/>
        <c:lblOffset val="100"/>
        <c:noMultiLvlLbl val="0"/>
      </c:catAx>
      <c:valAx>
        <c:axId val="182195328"/>
        <c:scaling>
          <c:orientation val="minMax"/>
        </c:scaling>
        <c:delete val="0"/>
        <c:axPos val="l"/>
        <c:title>
          <c:tx>
            <c:rich>
              <a:bodyPr rot="-5400000" vert="horz"/>
              <a:lstStyle/>
              <a:p>
                <a:pPr>
                  <a:defRPr/>
                </a:pPr>
                <a:r>
                  <a:rPr lang="en-US"/>
                  <a:t>Panjang (cm)</a:t>
                </a:r>
              </a:p>
            </c:rich>
          </c:tx>
          <c:overlay val="0"/>
        </c:title>
        <c:numFmt formatCode="General" sourceLinked="1"/>
        <c:majorTickMark val="out"/>
        <c:minorTickMark val="none"/>
        <c:tickLblPos val="nextTo"/>
        <c:crossAx val="173796352"/>
        <c:crosses val="autoZero"/>
        <c:crossBetween val="between"/>
      </c:valAx>
    </c:plotArea>
    <c:legend>
      <c:legendPos val="r"/>
      <c:overlay val="0"/>
    </c:legend>
    <c:plotVisOnly val="1"/>
    <c:dispBlanksAs val="gap"/>
    <c:showDLblsOverMax val="0"/>
  </c:chart>
  <c:spPr>
    <a:ln>
      <a:noFill/>
    </a:ln>
  </c:spPr>
  <c:txPr>
    <a:bodyPr/>
    <a:lstStyle/>
    <a:p>
      <a:pPr>
        <a:defRPr sz="1200" b="0">
          <a:latin typeface="Times New Roman" pitchFamily="18" charset="0"/>
          <a:cs typeface="Times New Roman"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panjang!$B$71</c:f>
              <c:strCache>
                <c:ptCount val="1"/>
                <c:pt idx="0">
                  <c:v>W0</c:v>
                </c:pt>
              </c:strCache>
            </c:strRef>
          </c:tx>
          <c:invertIfNegative val="0"/>
          <c:errBars>
            <c:errBarType val="both"/>
            <c:errValType val="cust"/>
            <c:noEndCap val="0"/>
            <c:plus>
              <c:numRef>
                <c:f>panjang!$D$76</c:f>
                <c:numCache>
                  <c:formatCode>General</c:formatCode>
                  <c:ptCount val="1"/>
                  <c:pt idx="0">
                    <c:v>4.238844919314686</c:v>
                  </c:pt>
                </c:numCache>
              </c:numRef>
            </c:plus>
            <c:minus>
              <c:numRef>
                <c:f>panjang!$D$72:$D$76</c:f>
                <c:numCache>
                  <c:formatCode>General</c:formatCode>
                  <c:ptCount val="5"/>
                  <c:pt idx="0">
                    <c:v>1.663864477654361</c:v>
                  </c:pt>
                  <c:pt idx="1">
                    <c:v>3.7111568277290559</c:v>
                  </c:pt>
                  <c:pt idx="2">
                    <c:v>4.6208152238899718</c:v>
                  </c:pt>
                  <c:pt idx="3">
                    <c:v>2.244943948817729</c:v>
                  </c:pt>
                  <c:pt idx="4">
                    <c:v>4.238844919314686</c:v>
                  </c:pt>
                </c:numCache>
              </c:numRef>
            </c:minus>
          </c:errBars>
          <c:cat>
            <c:numRef>
              <c:f>panjang!$A$72:$A$76</c:f>
              <c:numCache>
                <c:formatCode>0%</c:formatCode>
                <c:ptCount val="5"/>
                <c:pt idx="0">
                  <c:v>0</c:v>
                </c:pt>
                <c:pt idx="1">
                  <c:v>0.01</c:v>
                </c:pt>
                <c:pt idx="2">
                  <c:v>0.02</c:v>
                </c:pt>
                <c:pt idx="3">
                  <c:v>0.04</c:v>
                </c:pt>
                <c:pt idx="4">
                  <c:v>0.08</c:v>
                </c:pt>
              </c:numCache>
            </c:numRef>
          </c:cat>
          <c:val>
            <c:numRef>
              <c:f>panjang!$B$72:$B$76</c:f>
              <c:numCache>
                <c:formatCode>General</c:formatCode>
                <c:ptCount val="5"/>
                <c:pt idx="0">
                  <c:v>18.7075</c:v>
                </c:pt>
                <c:pt idx="1">
                  <c:v>19.467500000000001</c:v>
                </c:pt>
                <c:pt idx="2">
                  <c:v>14.72</c:v>
                </c:pt>
                <c:pt idx="3">
                  <c:v>20.329999999999998</c:v>
                </c:pt>
                <c:pt idx="4">
                  <c:v>24.077500000000001</c:v>
                </c:pt>
              </c:numCache>
            </c:numRef>
          </c:val>
          <c:extLst>
            <c:ext xmlns:c16="http://schemas.microsoft.com/office/drawing/2014/chart" uri="{C3380CC4-5D6E-409C-BE32-E72D297353CC}">
              <c16:uniqueId val="{00000000-8CB1-4C54-98EE-92E849AB382C}"/>
            </c:ext>
          </c:extLst>
        </c:ser>
        <c:ser>
          <c:idx val="1"/>
          <c:order val="1"/>
          <c:tx>
            <c:strRef>
              <c:f>panjang!$C$71</c:f>
              <c:strCache>
                <c:ptCount val="1"/>
                <c:pt idx="0">
                  <c:v>Wt</c:v>
                </c:pt>
              </c:strCache>
            </c:strRef>
          </c:tx>
          <c:invertIfNegative val="0"/>
          <c:errBars>
            <c:errBarType val="both"/>
            <c:errValType val="cust"/>
            <c:noEndCap val="0"/>
            <c:plus>
              <c:numRef>
                <c:f>panjang!$E$72:$E$76</c:f>
                <c:numCache>
                  <c:formatCode>General</c:formatCode>
                  <c:ptCount val="5"/>
                  <c:pt idx="0">
                    <c:v>3.5654340549223451</c:v>
                  </c:pt>
                  <c:pt idx="1">
                    <c:v>2.4915654383004444</c:v>
                  </c:pt>
                  <c:pt idx="2">
                    <c:v>4.3813017471979734</c:v>
                  </c:pt>
                  <c:pt idx="3">
                    <c:v>3.8086014493511948</c:v>
                  </c:pt>
                  <c:pt idx="4">
                    <c:v>3.7394125541319845</c:v>
                  </c:pt>
                </c:numCache>
              </c:numRef>
            </c:plus>
            <c:minus>
              <c:numRef>
                <c:f>panjang!$E$72:$E$76</c:f>
                <c:numCache>
                  <c:formatCode>General</c:formatCode>
                  <c:ptCount val="5"/>
                  <c:pt idx="0">
                    <c:v>3.5654340549223451</c:v>
                  </c:pt>
                  <c:pt idx="1">
                    <c:v>2.4915654383004444</c:v>
                  </c:pt>
                  <c:pt idx="2">
                    <c:v>4.3813017471979734</c:v>
                  </c:pt>
                  <c:pt idx="3">
                    <c:v>3.8086014493511948</c:v>
                  </c:pt>
                  <c:pt idx="4">
                    <c:v>3.7394125541319845</c:v>
                  </c:pt>
                </c:numCache>
              </c:numRef>
            </c:minus>
          </c:errBars>
          <c:cat>
            <c:numRef>
              <c:f>panjang!$A$72:$A$76</c:f>
              <c:numCache>
                <c:formatCode>0%</c:formatCode>
                <c:ptCount val="5"/>
                <c:pt idx="0">
                  <c:v>0</c:v>
                </c:pt>
                <c:pt idx="1">
                  <c:v>0.01</c:v>
                </c:pt>
                <c:pt idx="2">
                  <c:v>0.02</c:v>
                </c:pt>
                <c:pt idx="3">
                  <c:v>0.04</c:v>
                </c:pt>
                <c:pt idx="4">
                  <c:v>0.08</c:v>
                </c:pt>
              </c:numCache>
            </c:numRef>
          </c:cat>
          <c:val>
            <c:numRef>
              <c:f>panjang!$C$72:$C$76</c:f>
              <c:numCache>
                <c:formatCode>General</c:formatCode>
                <c:ptCount val="5"/>
                <c:pt idx="0">
                  <c:v>26.54</c:v>
                </c:pt>
                <c:pt idx="1">
                  <c:v>35.887500000000003</c:v>
                </c:pt>
                <c:pt idx="2">
                  <c:v>29.142499999999998</c:v>
                </c:pt>
                <c:pt idx="3">
                  <c:v>35.2575</c:v>
                </c:pt>
                <c:pt idx="4">
                  <c:v>35.142500000000005</c:v>
                </c:pt>
              </c:numCache>
            </c:numRef>
          </c:val>
          <c:extLst>
            <c:ext xmlns:c16="http://schemas.microsoft.com/office/drawing/2014/chart" uri="{C3380CC4-5D6E-409C-BE32-E72D297353CC}">
              <c16:uniqueId val="{00000001-8CB1-4C54-98EE-92E849AB382C}"/>
            </c:ext>
          </c:extLst>
        </c:ser>
        <c:dLbls>
          <c:showLegendKey val="0"/>
          <c:showVal val="0"/>
          <c:showCatName val="0"/>
          <c:showSerName val="0"/>
          <c:showPercent val="0"/>
          <c:showBubbleSize val="0"/>
        </c:dLbls>
        <c:gapWidth val="150"/>
        <c:axId val="182233728"/>
        <c:axId val="182240000"/>
      </c:barChart>
      <c:catAx>
        <c:axId val="182233728"/>
        <c:scaling>
          <c:orientation val="minMax"/>
        </c:scaling>
        <c:delete val="0"/>
        <c:axPos val="b"/>
        <c:title>
          <c:tx>
            <c:rich>
              <a:bodyPr/>
              <a:lstStyle/>
              <a:p>
                <a:pPr>
                  <a:defRPr/>
                </a:pPr>
                <a:r>
                  <a:rPr lang="en-US"/>
                  <a:t>Perlakuan</a:t>
                </a:r>
              </a:p>
            </c:rich>
          </c:tx>
          <c:overlay val="0"/>
        </c:title>
        <c:numFmt formatCode="0%" sourceLinked="1"/>
        <c:majorTickMark val="out"/>
        <c:minorTickMark val="none"/>
        <c:tickLblPos val="nextTo"/>
        <c:crossAx val="182240000"/>
        <c:crosses val="autoZero"/>
        <c:auto val="1"/>
        <c:lblAlgn val="ctr"/>
        <c:lblOffset val="100"/>
        <c:noMultiLvlLbl val="0"/>
      </c:catAx>
      <c:valAx>
        <c:axId val="182240000"/>
        <c:scaling>
          <c:orientation val="minMax"/>
        </c:scaling>
        <c:delete val="0"/>
        <c:axPos val="l"/>
        <c:title>
          <c:tx>
            <c:rich>
              <a:bodyPr rot="-5400000" vert="horz"/>
              <a:lstStyle/>
              <a:p>
                <a:pPr>
                  <a:defRPr/>
                </a:pPr>
                <a:r>
                  <a:rPr lang="en-US"/>
                  <a:t>Berat (gr)</a:t>
                </a:r>
              </a:p>
            </c:rich>
          </c:tx>
          <c:overlay val="0"/>
        </c:title>
        <c:numFmt formatCode="General" sourceLinked="1"/>
        <c:majorTickMark val="out"/>
        <c:minorTickMark val="none"/>
        <c:tickLblPos val="nextTo"/>
        <c:crossAx val="182233728"/>
        <c:crosses val="autoZero"/>
        <c:crossBetween val="between"/>
      </c:valAx>
    </c:plotArea>
    <c:legend>
      <c:legendPos val="r"/>
      <c:overlay val="0"/>
    </c:legend>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75162409986907"/>
          <c:y val="5.9365130595288307E-2"/>
          <c:w val="0.81546734587109027"/>
          <c:h val="0.74852960257530565"/>
        </c:manualLayout>
      </c:layout>
      <c:scatterChart>
        <c:scatterStyle val="lineMarker"/>
        <c:varyColors val="0"/>
        <c:ser>
          <c:idx val="0"/>
          <c:order val="0"/>
          <c:tx>
            <c:strRef>
              <c:f>'Sheet1 (3)'!$C$41</c:f>
              <c:strCache>
                <c:ptCount val="1"/>
                <c:pt idx="0">
                  <c:v>Control</c:v>
                </c:pt>
              </c:strCache>
            </c:strRef>
          </c:tx>
          <c:spPr>
            <a:ln>
              <a:solidFill>
                <a:srgbClr val="92D050"/>
              </a:solidFill>
              <a:prstDash val="solid"/>
            </a:ln>
          </c:spPr>
          <c:marker>
            <c:symbol val="none"/>
          </c:marker>
          <c:xVal>
            <c:numRef>
              <c:f>'Sheet1 (3)'!$B$42:$B$51</c:f>
              <c:numCache>
                <c:formatCode>General</c:formatCode>
                <c:ptCount val="10"/>
                <c:pt idx="0">
                  <c:v>0</c:v>
                </c:pt>
                <c:pt idx="1">
                  <c:v>0.999</c:v>
                </c:pt>
                <c:pt idx="2">
                  <c:v>1</c:v>
                </c:pt>
                <c:pt idx="3">
                  <c:v>1.9990000000000001</c:v>
                </c:pt>
                <c:pt idx="4">
                  <c:v>2</c:v>
                </c:pt>
                <c:pt idx="5">
                  <c:v>2.9990000000000001</c:v>
                </c:pt>
                <c:pt idx="6">
                  <c:v>3</c:v>
                </c:pt>
                <c:pt idx="7">
                  <c:v>3.9990000000000001</c:v>
                </c:pt>
                <c:pt idx="8">
                  <c:v>4</c:v>
                </c:pt>
                <c:pt idx="9">
                  <c:v>4.9989999999999997</c:v>
                </c:pt>
              </c:numCache>
            </c:numRef>
          </c:xVal>
          <c:yVal>
            <c:numRef>
              <c:f>'Sheet1 (3)'!$C$42:$C$51</c:f>
              <c:numCache>
                <c:formatCode>0</c:formatCode>
                <c:ptCount val="10"/>
                <c:pt idx="0">
                  <c:v>100</c:v>
                </c:pt>
                <c:pt idx="1">
                  <c:v>100</c:v>
                </c:pt>
                <c:pt idx="2">
                  <c:v>98.333333333333329</c:v>
                </c:pt>
                <c:pt idx="3">
                  <c:v>98.333333333333329</c:v>
                </c:pt>
                <c:pt idx="4">
                  <c:v>59.166666666666664</c:v>
                </c:pt>
                <c:pt idx="5">
                  <c:v>59.166666666666664</c:v>
                </c:pt>
                <c:pt idx="6">
                  <c:v>52.5</c:v>
                </c:pt>
                <c:pt idx="7">
                  <c:v>52.5</c:v>
                </c:pt>
                <c:pt idx="8">
                  <c:v>39.166666666666664</c:v>
                </c:pt>
                <c:pt idx="9">
                  <c:v>39.166666666666664</c:v>
                </c:pt>
              </c:numCache>
            </c:numRef>
          </c:yVal>
          <c:smooth val="0"/>
          <c:extLst>
            <c:ext xmlns:c16="http://schemas.microsoft.com/office/drawing/2014/chart" uri="{C3380CC4-5D6E-409C-BE32-E72D297353CC}">
              <c16:uniqueId val="{00000000-7F3B-4D88-8FA6-E148800B27CE}"/>
            </c:ext>
          </c:extLst>
        </c:ser>
        <c:ser>
          <c:idx val="1"/>
          <c:order val="1"/>
          <c:tx>
            <c:strRef>
              <c:f>'Sheet1 (3)'!$D$41</c:f>
              <c:strCache>
                <c:ptCount val="1"/>
                <c:pt idx="0">
                  <c:v>1%</c:v>
                </c:pt>
              </c:strCache>
            </c:strRef>
          </c:tx>
          <c:spPr>
            <a:ln>
              <a:solidFill>
                <a:srgbClr val="FFFF00"/>
              </a:solidFill>
              <a:prstDash val="solid"/>
            </a:ln>
          </c:spPr>
          <c:marker>
            <c:symbol val="none"/>
          </c:marker>
          <c:xVal>
            <c:numRef>
              <c:f>'Sheet1 (3)'!$B$42:$B$51</c:f>
              <c:numCache>
                <c:formatCode>General</c:formatCode>
                <c:ptCount val="10"/>
                <c:pt idx="0">
                  <c:v>0</c:v>
                </c:pt>
                <c:pt idx="1">
                  <c:v>0.999</c:v>
                </c:pt>
                <c:pt idx="2">
                  <c:v>1</c:v>
                </c:pt>
                <c:pt idx="3">
                  <c:v>1.9990000000000001</c:v>
                </c:pt>
                <c:pt idx="4">
                  <c:v>2</c:v>
                </c:pt>
                <c:pt idx="5">
                  <c:v>2.9990000000000001</c:v>
                </c:pt>
                <c:pt idx="6">
                  <c:v>3</c:v>
                </c:pt>
                <c:pt idx="7">
                  <c:v>3.9990000000000001</c:v>
                </c:pt>
                <c:pt idx="8">
                  <c:v>4</c:v>
                </c:pt>
                <c:pt idx="9">
                  <c:v>4.9989999999999997</c:v>
                </c:pt>
              </c:numCache>
            </c:numRef>
          </c:xVal>
          <c:yVal>
            <c:numRef>
              <c:f>'Sheet1 (3)'!$D$42:$D$51</c:f>
              <c:numCache>
                <c:formatCode>0</c:formatCode>
                <c:ptCount val="10"/>
                <c:pt idx="0">
                  <c:v>100</c:v>
                </c:pt>
                <c:pt idx="1">
                  <c:v>100</c:v>
                </c:pt>
                <c:pt idx="2">
                  <c:v>97.222222222222214</c:v>
                </c:pt>
                <c:pt idx="3">
                  <c:v>97.222222222222214</c:v>
                </c:pt>
                <c:pt idx="4">
                  <c:v>97.222222222222214</c:v>
                </c:pt>
                <c:pt idx="5">
                  <c:v>97.222222222222214</c:v>
                </c:pt>
                <c:pt idx="6">
                  <c:v>95.555555555555543</c:v>
                </c:pt>
                <c:pt idx="7">
                  <c:v>95.555555555555543</c:v>
                </c:pt>
                <c:pt idx="8">
                  <c:v>93.888888888888872</c:v>
                </c:pt>
                <c:pt idx="9">
                  <c:v>93.888888888888872</c:v>
                </c:pt>
              </c:numCache>
            </c:numRef>
          </c:yVal>
          <c:smooth val="0"/>
          <c:extLst>
            <c:ext xmlns:c16="http://schemas.microsoft.com/office/drawing/2014/chart" uri="{C3380CC4-5D6E-409C-BE32-E72D297353CC}">
              <c16:uniqueId val="{00000001-7F3B-4D88-8FA6-E148800B27CE}"/>
            </c:ext>
          </c:extLst>
        </c:ser>
        <c:ser>
          <c:idx val="2"/>
          <c:order val="2"/>
          <c:tx>
            <c:strRef>
              <c:f>'Sheet1 (3)'!$E$41</c:f>
              <c:strCache>
                <c:ptCount val="1"/>
                <c:pt idx="0">
                  <c:v>2%</c:v>
                </c:pt>
              </c:strCache>
            </c:strRef>
          </c:tx>
          <c:spPr>
            <a:ln>
              <a:solidFill>
                <a:schemeClr val="tx1"/>
              </a:solidFill>
            </a:ln>
          </c:spPr>
          <c:marker>
            <c:symbol val="none"/>
          </c:marker>
          <c:xVal>
            <c:numRef>
              <c:f>'Sheet1 (3)'!$B$42:$B$51</c:f>
              <c:numCache>
                <c:formatCode>General</c:formatCode>
                <c:ptCount val="10"/>
                <c:pt idx="0">
                  <c:v>0</c:v>
                </c:pt>
                <c:pt idx="1">
                  <c:v>0.999</c:v>
                </c:pt>
                <c:pt idx="2">
                  <c:v>1</c:v>
                </c:pt>
                <c:pt idx="3">
                  <c:v>1.9990000000000001</c:v>
                </c:pt>
                <c:pt idx="4">
                  <c:v>2</c:v>
                </c:pt>
                <c:pt idx="5">
                  <c:v>2.9990000000000001</c:v>
                </c:pt>
                <c:pt idx="6">
                  <c:v>3</c:v>
                </c:pt>
                <c:pt idx="7">
                  <c:v>3.9990000000000001</c:v>
                </c:pt>
                <c:pt idx="8">
                  <c:v>4</c:v>
                </c:pt>
                <c:pt idx="9">
                  <c:v>4.9989999999999997</c:v>
                </c:pt>
              </c:numCache>
            </c:numRef>
          </c:xVal>
          <c:yVal>
            <c:numRef>
              <c:f>'Sheet1 (3)'!$E$42:$E$51</c:f>
              <c:numCache>
                <c:formatCode>0</c:formatCode>
                <c:ptCount val="10"/>
                <c:pt idx="0">
                  <c:v>100</c:v>
                </c:pt>
                <c:pt idx="1">
                  <c:v>100</c:v>
                </c:pt>
                <c:pt idx="2">
                  <c:v>100</c:v>
                </c:pt>
                <c:pt idx="3">
                  <c:v>100</c:v>
                </c:pt>
                <c:pt idx="4">
                  <c:v>100</c:v>
                </c:pt>
                <c:pt idx="5">
                  <c:v>100</c:v>
                </c:pt>
                <c:pt idx="6">
                  <c:v>98.148148148148152</c:v>
                </c:pt>
                <c:pt idx="7">
                  <c:v>98.148148148148152</c:v>
                </c:pt>
                <c:pt idx="8">
                  <c:v>98.148148148148152</c:v>
                </c:pt>
                <c:pt idx="9">
                  <c:v>98.148148148148152</c:v>
                </c:pt>
              </c:numCache>
            </c:numRef>
          </c:yVal>
          <c:smooth val="0"/>
          <c:extLst>
            <c:ext xmlns:c16="http://schemas.microsoft.com/office/drawing/2014/chart" uri="{C3380CC4-5D6E-409C-BE32-E72D297353CC}">
              <c16:uniqueId val="{00000002-7F3B-4D88-8FA6-E148800B27CE}"/>
            </c:ext>
          </c:extLst>
        </c:ser>
        <c:ser>
          <c:idx val="4"/>
          <c:order val="3"/>
          <c:tx>
            <c:strRef>
              <c:f>'Sheet1 (3)'!$F$41</c:f>
              <c:strCache>
                <c:ptCount val="1"/>
                <c:pt idx="0">
                  <c:v>4%</c:v>
                </c:pt>
              </c:strCache>
            </c:strRef>
          </c:tx>
          <c:spPr>
            <a:ln>
              <a:solidFill>
                <a:srgbClr val="FF0000"/>
              </a:solidFill>
              <a:prstDash val="solid"/>
            </a:ln>
          </c:spPr>
          <c:marker>
            <c:symbol val="none"/>
          </c:marker>
          <c:xVal>
            <c:numRef>
              <c:f>'Sheet1 (3)'!$B$42:$B$51</c:f>
              <c:numCache>
                <c:formatCode>General</c:formatCode>
                <c:ptCount val="10"/>
                <c:pt idx="0">
                  <c:v>0</c:v>
                </c:pt>
                <c:pt idx="1">
                  <c:v>0.999</c:v>
                </c:pt>
                <c:pt idx="2">
                  <c:v>1</c:v>
                </c:pt>
                <c:pt idx="3">
                  <c:v>1.9990000000000001</c:v>
                </c:pt>
                <c:pt idx="4">
                  <c:v>2</c:v>
                </c:pt>
                <c:pt idx="5">
                  <c:v>2.9990000000000001</c:v>
                </c:pt>
                <c:pt idx="6">
                  <c:v>3</c:v>
                </c:pt>
                <c:pt idx="7">
                  <c:v>3.9990000000000001</c:v>
                </c:pt>
                <c:pt idx="8">
                  <c:v>4</c:v>
                </c:pt>
                <c:pt idx="9">
                  <c:v>4.9989999999999997</c:v>
                </c:pt>
              </c:numCache>
            </c:numRef>
          </c:xVal>
          <c:yVal>
            <c:numRef>
              <c:f>'Sheet1 (3)'!$F$42:$F$51</c:f>
              <c:numCache>
                <c:formatCode>0</c:formatCode>
                <c:ptCount val="10"/>
                <c:pt idx="0">
                  <c:v>100</c:v>
                </c:pt>
                <c:pt idx="1">
                  <c:v>100</c:v>
                </c:pt>
                <c:pt idx="2">
                  <c:v>100</c:v>
                </c:pt>
                <c:pt idx="3">
                  <c:v>100</c:v>
                </c:pt>
                <c:pt idx="4">
                  <c:v>98.75</c:v>
                </c:pt>
                <c:pt idx="5">
                  <c:v>98.75</c:v>
                </c:pt>
                <c:pt idx="6">
                  <c:v>96.111111111111114</c:v>
                </c:pt>
                <c:pt idx="7">
                  <c:v>96.111111111111114</c:v>
                </c:pt>
                <c:pt idx="8">
                  <c:v>92.936507936507937</c:v>
                </c:pt>
                <c:pt idx="9">
                  <c:v>92.936507936507937</c:v>
                </c:pt>
              </c:numCache>
            </c:numRef>
          </c:yVal>
          <c:smooth val="0"/>
          <c:extLst>
            <c:ext xmlns:c16="http://schemas.microsoft.com/office/drawing/2014/chart" uri="{C3380CC4-5D6E-409C-BE32-E72D297353CC}">
              <c16:uniqueId val="{00000003-7F3B-4D88-8FA6-E148800B27CE}"/>
            </c:ext>
          </c:extLst>
        </c:ser>
        <c:ser>
          <c:idx val="3"/>
          <c:order val="4"/>
          <c:tx>
            <c:strRef>
              <c:f>'Sheet1 (3)'!$G$41</c:f>
              <c:strCache>
                <c:ptCount val="1"/>
                <c:pt idx="0">
                  <c:v>8%</c:v>
                </c:pt>
              </c:strCache>
            </c:strRef>
          </c:tx>
          <c:spPr>
            <a:ln>
              <a:solidFill>
                <a:srgbClr val="00B0F0"/>
              </a:solidFill>
              <a:prstDash val="solid"/>
            </a:ln>
          </c:spPr>
          <c:marker>
            <c:symbol val="none"/>
          </c:marker>
          <c:xVal>
            <c:numRef>
              <c:f>'Sheet1 (3)'!$B$42:$B$51</c:f>
              <c:numCache>
                <c:formatCode>General</c:formatCode>
                <c:ptCount val="10"/>
                <c:pt idx="0">
                  <c:v>0</c:v>
                </c:pt>
                <c:pt idx="1">
                  <c:v>0.999</c:v>
                </c:pt>
                <c:pt idx="2">
                  <c:v>1</c:v>
                </c:pt>
                <c:pt idx="3">
                  <c:v>1.9990000000000001</c:v>
                </c:pt>
                <c:pt idx="4">
                  <c:v>2</c:v>
                </c:pt>
                <c:pt idx="5">
                  <c:v>2.9990000000000001</c:v>
                </c:pt>
                <c:pt idx="6">
                  <c:v>3</c:v>
                </c:pt>
                <c:pt idx="7">
                  <c:v>3.9990000000000001</c:v>
                </c:pt>
                <c:pt idx="8">
                  <c:v>4</c:v>
                </c:pt>
                <c:pt idx="9">
                  <c:v>4.9989999999999997</c:v>
                </c:pt>
              </c:numCache>
            </c:numRef>
          </c:xVal>
          <c:yVal>
            <c:numRef>
              <c:f>'Sheet1 (3)'!$G$42:$G$51</c:f>
              <c:numCache>
                <c:formatCode>0</c:formatCode>
                <c:ptCount val="10"/>
                <c:pt idx="0">
                  <c:v>100</c:v>
                </c:pt>
                <c:pt idx="1">
                  <c:v>100</c:v>
                </c:pt>
                <c:pt idx="2">
                  <c:v>100</c:v>
                </c:pt>
                <c:pt idx="3">
                  <c:v>100</c:v>
                </c:pt>
                <c:pt idx="4">
                  <c:v>98.039215686274517</c:v>
                </c:pt>
                <c:pt idx="5">
                  <c:v>98.039215686274517</c:v>
                </c:pt>
                <c:pt idx="6">
                  <c:v>93.995098039215691</c:v>
                </c:pt>
                <c:pt idx="7">
                  <c:v>93.995098039215691</c:v>
                </c:pt>
                <c:pt idx="8">
                  <c:v>89.950980392156865</c:v>
                </c:pt>
                <c:pt idx="9">
                  <c:v>89.950980392156865</c:v>
                </c:pt>
              </c:numCache>
            </c:numRef>
          </c:yVal>
          <c:smooth val="0"/>
          <c:extLst>
            <c:ext xmlns:c16="http://schemas.microsoft.com/office/drawing/2014/chart" uri="{C3380CC4-5D6E-409C-BE32-E72D297353CC}">
              <c16:uniqueId val="{00000004-7F3B-4D88-8FA6-E148800B27CE}"/>
            </c:ext>
          </c:extLst>
        </c:ser>
        <c:dLbls>
          <c:showLegendKey val="0"/>
          <c:showVal val="0"/>
          <c:showCatName val="0"/>
          <c:showSerName val="0"/>
          <c:showPercent val="0"/>
          <c:showBubbleSize val="0"/>
        </c:dLbls>
        <c:axId val="182272000"/>
        <c:axId val="182273920"/>
      </c:scatterChart>
      <c:valAx>
        <c:axId val="182272000"/>
        <c:scaling>
          <c:orientation val="minMax"/>
        </c:scaling>
        <c:delete val="0"/>
        <c:axPos val="b"/>
        <c:title>
          <c:tx>
            <c:rich>
              <a:bodyPr/>
              <a:lstStyle/>
              <a:p>
                <a:pPr>
                  <a:defRPr/>
                </a:pPr>
                <a:r>
                  <a:rPr lang="en-US"/>
                  <a:t>Day post injection-</a:t>
                </a:r>
              </a:p>
            </c:rich>
          </c:tx>
          <c:overlay val="0"/>
        </c:title>
        <c:numFmt formatCode="General" sourceLinked="1"/>
        <c:majorTickMark val="out"/>
        <c:minorTickMark val="none"/>
        <c:tickLblPos val="nextTo"/>
        <c:crossAx val="182273920"/>
        <c:crosses val="autoZero"/>
        <c:crossBetween val="midCat"/>
        <c:majorUnit val="1"/>
      </c:valAx>
      <c:valAx>
        <c:axId val="182273920"/>
        <c:scaling>
          <c:orientation val="minMax"/>
          <c:max val="100"/>
        </c:scaling>
        <c:delete val="0"/>
        <c:axPos val="l"/>
        <c:title>
          <c:tx>
            <c:rich>
              <a:bodyPr rot="-5400000" vert="horz"/>
              <a:lstStyle/>
              <a:p>
                <a:pPr>
                  <a:defRPr/>
                </a:pPr>
                <a:r>
                  <a:rPr lang="en-US"/>
                  <a:t>Survival Rate (%)</a:t>
                </a:r>
              </a:p>
            </c:rich>
          </c:tx>
          <c:layout>
            <c:manualLayout>
              <c:xMode val="edge"/>
              <c:yMode val="edge"/>
              <c:x val="1.5394642872646276E-2"/>
              <c:y val="0.32133026146961147"/>
            </c:manualLayout>
          </c:layout>
          <c:overlay val="0"/>
        </c:title>
        <c:numFmt formatCode="0" sourceLinked="0"/>
        <c:majorTickMark val="out"/>
        <c:minorTickMark val="none"/>
        <c:tickLblPos val="nextTo"/>
        <c:crossAx val="182272000"/>
        <c:crosses val="autoZero"/>
        <c:crossBetween val="midCat"/>
      </c:valAx>
    </c:plotArea>
    <c:legend>
      <c:legendPos val="b"/>
      <c:layout>
        <c:manualLayout>
          <c:xMode val="edge"/>
          <c:yMode val="edge"/>
          <c:x val="0.21663767878613505"/>
          <c:y val="0.95063713542287021"/>
          <c:w val="0.62650724259568036"/>
          <c:h val="3.7064635425291162E-2"/>
        </c:manualLayout>
      </c:layout>
      <c:overlay val="0"/>
    </c:legend>
    <c:plotVisOnly val="1"/>
    <c:dispBlanksAs val="gap"/>
    <c:showDLblsOverMax val="0"/>
  </c:chart>
  <c:spPr>
    <a:ln>
      <a:noFill/>
    </a:ln>
  </c:spPr>
  <c:txPr>
    <a:bodyPr/>
    <a:lstStyle/>
    <a:p>
      <a:pPr>
        <a:defRPr sz="120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F98FC-1AA2-4C68-919D-4F41A2C7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16</Pages>
  <Words>9242</Words>
  <Characters>52683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Nunak Nafiqoh</dc:creator>
  <cp:keywords/>
  <cp:lastModifiedBy>Nunak Nafiqoh</cp:lastModifiedBy>
  <cp:revision>17</cp:revision>
  <dcterms:created xsi:type="dcterms:W3CDTF">2020-06-24T04:55:00Z</dcterms:created>
  <dcterms:modified xsi:type="dcterms:W3CDTF">2020-07-06T07:11:00Z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id="fRIXYPfn"/&gt;&lt;style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